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67B95C33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56E7BC8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DE77B0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купли-продажи 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55A8F49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D653DA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365D1E4B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Право на заключение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номером: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39:17:020004:4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, общей площадью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1200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квадратн</w:t>
            </w:r>
            <w:r w:rsidR="00D7233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метр</w:t>
            </w:r>
            <w:r w:rsidR="00D7233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2330">
              <w:rPr>
                <w:rFonts w:ascii="Times New Roman" w:hAnsi="Times New Roman"/>
                <w:sz w:val="24"/>
                <w:szCs w:val="24"/>
              </w:rPr>
              <w:t>расположенного по адресу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Калининградская обл., Светлогорский городской округ, г. Светлогорск, пер. Партизанский, дом 2а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C96191" w14:textId="25DBB87A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6BA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C4993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3F07A6E1" w:rsidR="005C6E8E" w:rsidRPr="0023036D" w:rsidRDefault="00D72330" w:rsidP="001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39-39-03/262/2010-154 от 02.07.2010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331A292C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</w:t>
            </w:r>
            <w:proofErr w:type="gramStart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на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право заключения договора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участка с кадастровым номером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39:17:020004:4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57BF79B6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39:17:020004:4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244F1B5" w14:textId="32064D10" w:rsidR="008A18AD" w:rsidRDefault="00D72330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5C6E8E"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72330">
              <w:rPr>
                <w:rFonts w:ascii="Times New Roman" w:hAnsi="Times New Roman"/>
                <w:sz w:val="24"/>
                <w:szCs w:val="24"/>
              </w:rPr>
              <w:t>Калининградская обл., Светлогорский городской округ, г. Светлогорск, пер. Партизанский, дом 2а</w:t>
            </w:r>
            <w:r w:rsidRPr="005C6E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FB3D" w14:textId="0A131D45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46FD7AC5" w14:textId="055BA7E5" w:rsidR="00D72330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Форма собственности: муниципальная (сведения о регистрации права собственности:</w:t>
            </w:r>
            <w:r w:rsidR="008A18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39-39-03/262/2010-154 от 02.07.2010</w:t>
            </w:r>
            <w:r w:rsidR="00D7233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2037133" w14:textId="6A7288F8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591A5E55" w14:textId="47CFC6BF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A18AD" w:rsidRPr="008A18AD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индивидуального жилого дома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3A1D48C" w14:textId="659B0E8A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D72330"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>8 757 972 (восемь миллионов семьсот пятьдесят семь тысяч девятьсот семьдесят два) рубля 00 копеек.</w:t>
            </w:r>
          </w:p>
          <w:p w14:paraId="5263DE64" w14:textId="3D5C0625" w:rsidR="005C6E8E" w:rsidRPr="00262329" w:rsidRDefault="005C6E8E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977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2330"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22.02.2017; реквизиты документа-основания: распоряжение "Об утверждении границы водоохранной зоны и границы прибрежной защитной полосы Балтийского моря на территории Калининградской области" от 26.09.2016 № 78 выдан: </w:t>
            </w:r>
            <w:proofErr w:type="spellStart"/>
            <w:r w:rsidR="00D72330"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>Невско</w:t>
            </w:r>
            <w:proofErr w:type="spellEnd"/>
            <w:r w:rsidR="00D72330"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-Ладожское бассейновое водное управление Федерального агентства водных ресурсов.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27.05.2019;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</w:t>
            </w:r>
            <w:r w:rsidR="00D72330" w:rsidRPr="00D723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выдан: ООО "ЗЕМЛЕМЕР" (Истомина Надежда Александровна).</w:t>
            </w:r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DE1" w14:textId="566C9AB5" w:rsidR="005C6E8E" w:rsidRPr="0023036D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Генеральному плану</w:t>
            </w:r>
            <w:r w:rsidRPr="004B794E">
              <w:rPr>
                <w:rFonts w:ascii="Times New Roman" w:eastAsia="Times New Roman" w:hAnsi="Times New Roman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 с кадастровым номером </w:t>
            </w:r>
            <w:r w:rsidR="00D72330" w:rsidRPr="00D72330">
              <w:rPr>
                <w:rFonts w:ascii="Times New Roman" w:eastAsia="Times New Roman" w:hAnsi="Times New Roman"/>
              </w:rPr>
              <w:t>39:17:020004:4</w:t>
            </w:r>
            <w:r w:rsidR="00D72330">
              <w:rPr>
                <w:rFonts w:ascii="Times New Roman" w:eastAsia="Times New Roman" w:hAnsi="Times New Roman"/>
              </w:rPr>
              <w:t xml:space="preserve"> </w:t>
            </w:r>
            <w:r w:rsidRPr="004B794E">
              <w:rPr>
                <w:rFonts w:ascii="Times New Roman" w:eastAsia="Times New Roman" w:hAnsi="Times New Roman"/>
              </w:rPr>
              <w:t>расположен в функциональной зоне застройки индивидуальными жилыми домами.</w:t>
            </w:r>
          </w:p>
          <w:p w14:paraId="31F4E3AF" w14:textId="77777777" w:rsidR="005C6E8E" w:rsidRDefault="005C6E8E" w:rsidP="00AC0712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Правилам землепользования и застройки</w:t>
            </w:r>
            <w:r w:rsidRPr="0023036D">
              <w:rPr>
                <w:rFonts w:ascii="Times New Roman" w:eastAsia="Times New Roman" w:hAnsi="Times New Roman"/>
              </w:rPr>
              <w:t xml:space="preserve"> муниципального образования городское поселение «Город Светлогорск», утвержденным решением окружного Совета депутатов муниципального </w:t>
            </w:r>
            <w:r w:rsidRPr="0023036D">
              <w:rPr>
                <w:rFonts w:ascii="Times New Roman" w:eastAsia="Times New Roman" w:hAnsi="Times New Roman"/>
              </w:rPr>
              <w:lastRenderedPageBreak/>
              <w:t>образования «Город Светлогорск» от 22.12.2012 г. №94, земельный участок расположен в зоне застройки индивидуальными жилыми домами (Ж1.2).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E80DB2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Виды разрешенного использования земельных участков: </w:t>
            </w:r>
          </w:p>
          <w:p w14:paraId="0BE393E9" w14:textId="14A4F31C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Основные виды разрешённого использования / код (числовое обозначение) видов разрешенного использования: жилая застройка / 2.0: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 xml:space="preserve">для индивидуального жилищного строительства / 2.1; </w:t>
            </w:r>
            <w:r>
              <w:rPr>
                <w:rFonts w:ascii="Times New Roman" w:hAnsi="Times New Roman"/>
                <w:color w:val="000000"/>
              </w:rPr>
              <w:t>блокированная</w:t>
            </w:r>
            <w:r w:rsidRPr="0004603E">
              <w:rPr>
                <w:rFonts w:ascii="Times New Roman" w:hAnsi="Times New Roman"/>
                <w:color w:val="000000"/>
              </w:rPr>
              <w:t xml:space="preserve"> жилая застройка / 2.3.</w:t>
            </w:r>
          </w:p>
          <w:p w14:paraId="38C521F2" w14:textId="7FF9F664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Условно-разрешённые виды использования / код (числовое обозначение) видов разрешенного использования: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жилой застройки / 2.7, в том числе: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использование объектов капитального строительства / 3.0: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коммунальное обслуживание / 3.1;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социальное обслуживание / 3.2;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бытовое обслуживание / 3.3;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здравоохранение / 3.4;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образование и просвещение / 3.5;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культурное развитие / 3.6;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религиозное использование / 3.7;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управление / 3.8;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обеспечение научной деятельности / 3.9;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предпринимательство / 4.0: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деловое управление / 4.1;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магазины / 4.4;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банковская и страховая деятельность / 4.5;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общественное питание / 4.6;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гостиничное обслуживание / 4.7;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развлечения / 4.8;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603E">
              <w:rPr>
                <w:rFonts w:ascii="Times New Roman" w:hAnsi="Times New Roman"/>
                <w:color w:val="000000"/>
              </w:rPr>
              <w:t>обслуживание автотранспорта / 4.9.</w:t>
            </w:r>
          </w:p>
          <w:p w14:paraId="02E31F3C" w14:textId="2A9641A3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Вспомогательные виды разрешённого использования / код (числовое обозначение) видов разрешенного использования: общее пользование территории / 12.0. </w:t>
            </w:r>
          </w:p>
          <w:p w14:paraId="3ED96311" w14:textId="4A15841A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не устанавливаются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34BA6748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4603E">
              <w:rPr>
                <w:rFonts w:ascii="Times New Roman" w:hAnsi="Times New Roman"/>
                <w:b/>
                <w:bCs/>
                <w:color w:val="000000"/>
              </w:rPr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6E190268" w14:textId="75756DF9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(за исключением земельного участка блокированной жилой застройки): минимальный – 400 кв. м; максимальный - 1500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507E3409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предельные размеры земельного участка блокированной жилой застройки: минимальный – 150 кв. м; максимальный - 400 </w:t>
            </w:r>
            <w:proofErr w:type="spellStart"/>
            <w:proofErr w:type="gramStart"/>
            <w:r w:rsidRPr="0004603E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proofErr w:type="gramEnd"/>
            <w:r w:rsidRPr="0004603E">
              <w:rPr>
                <w:rFonts w:ascii="Times New Roman" w:hAnsi="Times New Roman"/>
                <w:color w:val="000000"/>
              </w:rPr>
              <w:t>;</w:t>
            </w:r>
          </w:p>
          <w:p w14:paraId="149F189C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6231A3AB" w14:textId="5A9C8831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предельная этажность зданий – 3 этажа; </w:t>
            </w:r>
          </w:p>
          <w:p w14:paraId="2560D334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>- максимальный процент застройки в границах земельного участка – 40%;</w:t>
            </w:r>
          </w:p>
          <w:p w14:paraId="0E9343F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минимальный отступ зданий от красной линии – 5 м. </w:t>
            </w:r>
          </w:p>
          <w:p w14:paraId="42A2240E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614E0D11" w14:textId="77777777" w:rsidR="0004603E" w:rsidRPr="0004603E" w:rsidRDefault="0004603E" w:rsidP="000460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4603E">
              <w:rPr>
                <w:rFonts w:ascii="Times New Roman" w:hAnsi="Times New Roman"/>
                <w:color w:val="000000"/>
              </w:rPr>
              <w:t xml:space="preserve">- минимальные расстояния от стен зданий до площадок для отдыха и хозяйственных площадок (включая </w:t>
            </w:r>
            <w:r w:rsidRPr="0004603E">
              <w:rPr>
                <w:rFonts w:ascii="Times New Roman" w:hAnsi="Times New Roman"/>
                <w:color w:val="000000"/>
              </w:rPr>
              <w:lastRenderedPageBreak/>
              <w:t xml:space="preserve">площадки для сбора бытовых отходов) – определяются в соответствии с санитарными и строительными нормативами; </w:t>
            </w:r>
          </w:p>
          <w:p w14:paraId="508914EC" w14:textId="51C436EE" w:rsidR="005C6E8E" w:rsidRDefault="0004603E" w:rsidP="00AC07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03E">
              <w:rPr>
                <w:rFonts w:ascii="Times New Roman" w:hAnsi="Times New Roman"/>
                <w:color w:val="000000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007" w14:textId="77777777" w:rsidR="00D72330" w:rsidRPr="00D72330" w:rsidRDefault="00D72330" w:rsidP="00D7233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</w:rPr>
              <w:t xml:space="preserve">- </w:t>
            </w:r>
            <w:r w:rsidRPr="00D72330">
              <w:rPr>
                <w:rFonts w:ascii="Times New Roman" w:eastAsia="Times New Roman" w:hAnsi="Times New Roman"/>
                <w:u w:val="single"/>
              </w:rPr>
              <w:t>к сетям централизованной системы холодного водоснабжения:</w:t>
            </w:r>
            <w:r w:rsidRPr="00D72330">
              <w:rPr>
                <w:rFonts w:ascii="Times New Roman" w:eastAsia="Times New Roman" w:hAnsi="Times New Roman"/>
              </w:rPr>
              <w:t xml:space="preserve"> объекты капитального строительства, предполагаемые к размещению на указанном земельном участке, подключены к сетям централизованной системы холодного водоснабжения (исх. Свт-и-918 от 23.10.2023 г.);</w:t>
            </w:r>
          </w:p>
          <w:p w14:paraId="5B4BDB40" w14:textId="77777777" w:rsidR="00D72330" w:rsidRPr="00D72330" w:rsidRDefault="00D72330" w:rsidP="00D7233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</w:rPr>
              <w:t xml:space="preserve">- </w:t>
            </w:r>
            <w:r w:rsidRPr="00D72330">
              <w:rPr>
                <w:rFonts w:ascii="Times New Roman" w:eastAsia="Times New Roman" w:hAnsi="Times New Roman"/>
                <w:u w:val="single"/>
              </w:rPr>
              <w:t>к хозяйственно-бытовой канализации</w:t>
            </w:r>
            <w:r w:rsidRPr="00D72330">
              <w:rPr>
                <w:rFonts w:ascii="Times New Roman" w:eastAsia="Times New Roman" w:hAnsi="Times New Roman"/>
              </w:rPr>
              <w:t xml:space="preserve"> от индивидуального жилого дома: подключение возможно, предварительные технические условия на проектирование хозяйственно-бытовой канализации исх. №1355 от 26.10.2023 (срок действия – три года);</w:t>
            </w:r>
          </w:p>
          <w:p w14:paraId="082716DF" w14:textId="77777777" w:rsidR="00D72330" w:rsidRPr="00D72330" w:rsidRDefault="00D72330" w:rsidP="00D7233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</w:rPr>
              <w:t xml:space="preserve">- </w:t>
            </w:r>
            <w:r w:rsidRPr="00D72330">
              <w:rPr>
                <w:rFonts w:ascii="Times New Roman" w:eastAsia="Times New Roman" w:hAnsi="Times New Roman"/>
                <w:u w:val="single"/>
              </w:rPr>
              <w:t>к сетям ливневой канализации:</w:t>
            </w:r>
            <w:r w:rsidRPr="00D72330">
              <w:rPr>
                <w:rFonts w:ascii="Times New Roman" w:eastAsia="Times New Roman" w:hAnsi="Times New Roman"/>
              </w:rPr>
              <w:t xml:space="preserve"> в данном районе централизованный сети ливневой канализации отсутствуют (исх. №373 от 20.12.2023 г.);</w:t>
            </w:r>
          </w:p>
          <w:p w14:paraId="5EA51CB6" w14:textId="77777777" w:rsidR="00D72330" w:rsidRPr="00D72330" w:rsidRDefault="00D72330" w:rsidP="00D7233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  <w:u w:val="single"/>
              </w:rPr>
              <w:t>- к сетям теплоснабжения</w:t>
            </w:r>
            <w:r w:rsidRPr="00D72330">
              <w:rPr>
                <w:rFonts w:ascii="Times New Roman" w:eastAsia="Times New Roman" w:hAnsi="Times New Roman"/>
              </w:rPr>
              <w:t>: находится вне зоны радиуса эффективного теплоснабжения, который был определен при актуализации схемы теплоснабжения муниципального образования «Светлогорский городской округ» Калининградской области до 2040 года. (Исх. № 11 от 15.02.2024 г.)</w:t>
            </w:r>
          </w:p>
          <w:p w14:paraId="7F4B58B1" w14:textId="77777777" w:rsidR="00D72330" w:rsidRPr="00D72330" w:rsidRDefault="00D72330" w:rsidP="00D7233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</w:rPr>
              <w:t xml:space="preserve">- </w:t>
            </w:r>
            <w:r w:rsidRPr="00D72330">
              <w:rPr>
                <w:rFonts w:ascii="Times New Roman" w:eastAsia="Times New Roman" w:hAnsi="Times New Roman"/>
                <w:u w:val="single"/>
              </w:rPr>
              <w:t>к газораспределительным сетям природного газа</w:t>
            </w:r>
            <w:r w:rsidRPr="00D72330">
              <w:rPr>
                <w:rFonts w:ascii="Times New Roman" w:eastAsia="Times New Roman" w:hAnsi="Times New Roman"/>
              </w:rPr>
              <w:t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Использование газа возможно на цели отопления, горячего водоснабжения и пищеприготовления. Планируемый максимально-часовой расход природного газа – в соответствии со схемой г. Светлогорска. (исх. №121 от 19.10.2023 г.).</w:t>
            </w:r>
          </w:p>
          <w:p w14:paraId="590EE1C1" w14:textId="0E9462A7" w:rsidR="005C6E8E" w:rsidRPr="00D72330" w:rsidRDefault="00D72330" w:rsidP="00AC071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2330">
              <w:rPr>
                <w:rFonts w:ascii="Times New Roman" w:eastAsia="Times New Roman" w:hAnsi="Times New Roman"/>
              </w:rPr>
              <w:t xml:space="preserve">Градостроительный план земельного участка от 03.11.2023 года подготовлен. Имеется в распоряжении организатора аукциона.  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6D2641F8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(кадастровая стоимость)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60465B09" w:rsidR="005C6E8E" w:rsidRPr="000D5454" w:rsidRDefault="00D72330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pacing w:val="-2"/>
                <w:sz w:val="24"/>
                <w:szCs w:val="24"/>
              </w:rPr>
              <w:t>8 757 972 (восемь миллионов семьсот пятьдесят семь тысяч девятьсот семьдесят два) рубля 00 копеек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7C2EB030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05" w14:textId="24B0D3E3" w:rsidR="005C6E8E" w:rsidRPr="000D5454" w:rsidRDefault="00D72330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pacing w:val="-2"/>
                <w:sz w:val="24"/>
                <w:szCs w:val="24"/>
              </w:rPr>
              <w:t>87 579 (восемьдесят семь тысяч пятьсот семьдесят девять) рублей 72 копейки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5F5BFCE5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79319F38" w:rsidR="005C6E8E" w:rsidRPr="000D5454" w:rsidRDefault="00D72330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262 739 (двести шестьдесят две тысячи семьсот тридцать девять) рублей 16 копеек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48DB764F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>Договор купли-продажи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627" w14:textId="7FB626B8" w:rsidR="00880747" w:rsidRDefault="00880747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796913" w14:textId="77777777" w:rsidR="00D72330" w:rsidRPr="00D72330" w:rsidRDefault="00D72330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07970255" w14:textId="55F571B2" w:rsidR="00D72330" w:rsidRDefault="00D72330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Приём заявок на участие в аукционе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документов от заявителей, а также ознакомление с пакетом документов по предмету аукциона производится по рабочим дням </w:t>
            </w:r>
            <w:r w:rsidRPr="00D723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09:00 1</w:t>
            </w:r>
            <w:r w:rsidR="00EF1A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723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апреля 2024 года – до 18:00 13 мая 2024 года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0DB460BD" w14:textId="2E54D5B3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2B5937CE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купли-продажи. </w:t>
            </w:r>
          </w:p>
          <w:p w14:paraId="5D1464F2" w14:textId="77777777" w:rsidR="00D72330" w:rsidRDefault="00D72330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330">
              <w:rPr>
                <w:rFonts w:ascii="Times New Roman" w:hAnsi="Times New Roman"/>
                <w:bCs/>
                <w:sz w:val="24"/>
                <w:szCs w:val="24"/>
              </w:rPr>
              <w:t xml:space="preserve">Претендент обязан обеспечить </w:t>
            </w:r>
            <w:r w:rsidRPr="00D7233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D72330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по оплате задатка на счет, указанный в настоящем извещении в срок до 18 часов 00 мин 13.05.2024 (по местному времени).</w:t>
            </w:r>
          </w:p>
          <w:p w14:paraId="2EED1EAC" w14:textId="04DE3E9B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</w:t>
            </w:r>
            <w:r w:rsidRPr="00361D9E"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>(«АДМИНИСТРАЦИЯ МУНИЦИПАЛЬНОГО ОБРАЗОВАНИЯ «СВЕТЛОГОРСКИЙ ГОРОДСКОЙ 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4623A55E" w:rsidR="005C6E8E" w:rsidRPr="007B7B7D" w:rsidRDefault="0088074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«Задаток за участие в аукционе на право заключение договора </w:t>
            </w:r>
            <w:r w:rsidR="007B7B7D">
              <w:rPr>
                <w:rFonts w:ascii="Times New Roman" w:hAnsi="Times New Roman"/>
                <w:b/>
                <w:bCs/>
                <w:color w:val="000000"/>
              </w:rPr>
              <w:t>купли-продажи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 xml:space="preserve"> земельного участка с кадастровым номером </w:t>
            </w:r>
            <w:r w:rsidR="00D72330" w:rsidRPr="00D72330">
              <w:rPr>
                <w:rFonts w:ascii="Times New Roman" w:hAnsi="Times New Roman"/>
                <w:b/>
                <w:bCs/>
                <w:color w:val="000000"/>
              </w:rPr>
              <w:t>39:17:020004:4</w:t>
            </w:r>
            <w:r w:rsidRPr="00FB747D">
              <w:rPr>
                <w:rFonts w:ascii="Times New Roman" w:hAnsi="Times New Roman"/>
                <w:b/>
                <w:bCs/>
                <w:color w:val="000000"/>
              </w:rPr>
              <w:t>».</w:t>
            </w:r>
            <w:r w:rsidRPr="000D4E24">
              <w:rPr>
                <w:rFonts w:ascii="Times New Roman" w:hAnsi="Times New Roman"/>
                <w:color w:val="000000"/>
              </w:rPr>
              <w:t xml:space="preserve"> НДС не облагается</w:t>
            </w:r>
            <w:bookmarkEnd w:id="0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4ED" w14:textId="03E62005" w:rsidR="00D72330" w:rsidRPr="00D72330" w:rsidRDefault="00D72330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 1</w:t>
            </w:r>
            <w:r w:rsidR="0050476A">
              <w:rPr>
                <w:rFonts w:ascii="Times New Roman" w:hAnsi="Times New Roman"/>
                <w:sz w:val="24"/>
                <w:szCs w:val="24"/>
              </w:rPr>
              <w:t>3</w:t>
            </w:r>
            <w:r w:rsidRPr="00D72330">
              <w:rPr>
                <w:rFonts w:ascii="Times New Roman" w:hAnsi="Times New Roman"/>
                <w:sz w:val="24"/>
                <w:szCs w:val="24"/>
              </w:rPr>
              <w:t xml:space="preserve"> апреля 2024 года 09:00;</w:t>
            </w:r>
          </w:p>
          <w:p w14:paraId="3920BDE4" w14:textId="5349F828" w:rsidR="005C6E8E" w:rsidRPr="00622D37" w:rsidRDefault="00D72330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 13 мая 2024 года 18:00.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2BB9CFC5" w:rsidR="005C6E8E" w:rsidRDefault="00D72330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15 мая 2024 года.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4C1D401E" w:rsidR="005C6E8E" w:rsidRPr="00FB757B" w:rsidRDefault="00D72330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D7233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16 мая 2024 года в 11:00 </w:t>
            </w:r>
            <w:r w:rsidR="00707185" w:rsidRPr="0070718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 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1F3BF9A7" w:rsidR="005C6E8E" w:rsidRPr="00FB757B" w:rsidRDefault="00D72330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330">
              <w:rPr>
                <w:rFonts w:ascii="Times New Roman" w:hAnsi="Times New Roman"/>
                <w:sz w:val="24"/>
                <w:szCs w:val="24"/>
              </w:rPr>
              <w:t>16 мая 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1E5D2941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купли– продажи: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F960E11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>Извещение об отказе в проведении аукциона размещается на официальном сайте РФ в информационно-телекоммуникационной сети «Интернет» https://torgi.gov.ru/new/public 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4D38C7B6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купли-продажи земельного участка с кадастровым номером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39:17:020004:4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01A6D0E7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6F0" w14:textId="3B29C0CA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 земельного участка определяется </w:t>
            </w:r>
            <w:r w:rsidR="00720A14">
              <w:rPr>
                <w:rFonts w:ascii="Times New Roman" w:hAnsi="Times New Roman"/>
                <w:sz w:val="24"/>
                <w:szCs w:val="24"/>
              </w:rPr>
              <w:t>цена земельного участка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12B06E2" w14:textId="5240679A" w:rsidR="005C6E8E" w:rsidRPr="009E41C4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1C4"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="005C6E8E" w:rsidRPr="009E41C4">
              <w:rPr>
                <w:rFonts w:ascii="Times New Roman" w:hAnsi="Times New Roman"/>
                <w:sz w:val="24"/>
                <w:szCs w:val="24"/>
              </w:rPr>
              <w:t xml:space="preserve">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3AB3B3BD" w14:textId="0082C0C7" w:rsidR="005C6E8E" w:rsidRPr="009E41C4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065E0FB9" w14:textId="77777777" w:rsidR="005C6E8E" w:rsidRDefault="005C6E8E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  <w:p w14:paraId="655CE15A" w14:textId="7C6399AA" w:rsidR="00720A14" w:rsidRPr="004771FC" w:rsidRDefault="00720A14" w:rsidP="00AC071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31ECF0FC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купли-продажи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188C62E2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DE208A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можно ознакомиться по рабочим дням с 10 часов 00 минут до 17 часов 00 минут (с 13:00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3D81CA2C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2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Осмотр земельного участка может быть проведен любым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заинтересованным лицом самостоятельно.</w:t>
            </w:r>
            <w:bookmarkEnd w:id="2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4E4EBC9C" w:rsidR="005C6E8E" w:rsidRPr="00E90528" w:rsidRDefault="005C6E8E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E77B0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E77B0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DE77B0">
              <w:rPr>
                <w:rFonts w:ascii="Times New Roman" w:hAnsi="Times New Roman"/>
                <w:sz w:val="24"/>
                <w:szCs w:val="24"/>
              </w:rPr>
              <w:t>316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«О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аукциона  на право заключения договора </w:t>
            </w:r>
            <w:r w:rsidR="00DE77B0"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="00D72330" w:rsidRPr="00D72330">
              <w:rPr>
                <w:rFonts w:ascii="Times New Roman" w:hAnsi="Times New Roman"/>
                <w:sz w:val="24"/>
                <w:szCs w:val="24"/>
              </w:rPr>
              <w:t>39:17:020004:4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4417A15D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-Проект договора 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купли-продажи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3805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02967B44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CBF4E12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C2319A3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B0175E8" w14:textId="77777777" w:rsidR="005C6E8E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5C6E8E" w:rsidSect="002E413D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08C0" w14:textId="77777777" w:rsidR="002E413D" w:rsidRDefault="002E413D" w:rsidP="004254C5">
      <w:pPr>
        <w:spacing w:after="0" w:line="240" w:lineRule="auto"/>
      </w:pPr>
      <w:r>
        <w:separator/>
      </w:r>
    </w:p>
  </w:endnote>
  <w:endnote w:type="continuationSeparator" w:id="0">
    <w:p w14:paraId="65414176" w14:textId="77777777" w:rsidR="002E413D" w:rsidRDefault="002E413D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543D" w14:textId="77777777" w:rsidR="002E413D" w:rsidRDefault="002E413D" w:rsidP="004254C5">
      <w:pPr>
        <w:spacing w:after="0" w:line="240" w:lineRule="auto"/>
      </w:pPr>
      <w:r>
        <w:separator/>
      </w:r>
    </w:p>
  </w:footnote>
  <w:footnote w:type="continuationSeparator" w:id="0">
    <w:p w14:paraId="40809CB0" w14:textId="77777777" w:rsidR="002E413D" w:rsidRDefault="002E413D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32A98"/>
    <w:rsid w:val="00137BBF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13D"/>
    <w:rsid w:val="002E4E9D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0543"/>
    <w:rsid w:val="00397BBE"/>
    <w:rsid w:val="003A02C9"/>
    <w:rsid w:val="003A07B1"/>
    <w:rsid w:val="003A1BA9"/>
    <w:rsid w:val="003B176B"/>
    <w:rsid w:val="003B4DB5"/>
    <w:rsid w:val="003D2EE8"/>
    <w:rsid w:val="003F551C"/>
    <w:rsid w:val="004254C5"/>
    <w:rsid w:val="00461F33"/>
    <w:rsid w:val="004771FC"/>
    <w:rsid w:val="00492864"/>
    <w:rsid w:val="004A29A0"/>
    <w:rsid w:val="004A6B07"/>
    <w:rsid w:val="004C088D"/>
    <w:rsid w:val="004C24FB"/>
    <w:rsid w:val="004C3FB7"/>
    <w:rsid w:val="004D4614"/>
    <w:rsid w:val="004E33F6"/>
    <w:rsid w:val="004E3C2F"/>
    <w:rsid w:val="0050476A"/>
    <w:rsid w:val="0053175B"/>
    <w:rsid w:val="00536847"/>
    <w:rsid w:val="00551DC4"/>
    <w:rsid w:val="00571003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457E6"/>
    <w:rsid w:val="006548FE"/>
    <w:rsid w:val="0067137E"/>
    <w:rsid w:val="006844B6"/>
    <w:rsid w:val="00684DEE"/>
    <w:rsid w:val="006A5860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7B29"/>
    <w:rsid w:val="00720A14"/>
    <w:rsid w:val="00724925"/>
    <w:rsid w:val="0072493A"/>
    <w:rsid w:val="00740AE5"/>
    <w:rsid w:val="007523C3"/>
    <w:rsid w:val="00776C7A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21525"/>
    <w:rsid w:val="00833695"/>
    <w:rsid w:val="00834BD3"/>
    <w:rsid w:val="00834DDE"/>
    <w:rsid w:val="00836764"/>
    <w:rsid w:val="00841238"/>
    <w:rsid w:val="00841FFC"/>
    <w:rsid w:val="00851579"/>
    <w:rsid w:val="0086535A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499D"/>
    <w:rsid w:val="00904B1C"/>
    <w:rsid w:val="00916ABA"/>
    <w:rsid w:val="00923439"/>
    <w:rsid w:val="0096242F"/>
    <w:rsid w:val="00963403"/>
    <w:rsid w:val="009728C7"/>
    <w:rsid w:val="00976067"/>
    <w:rsid w:val="00985EA2"/>
    <w:rsid w:val="00991B4C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43F1"/>
    <w:rsid w:val="00A3487C"/>
    <w:rsid w:val="00A447F7"/>
    <w:rsid w:val="00A52F77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44372"/>
    <w:rsid w:val="00D460C2"/>
    <w:rsid w:val="00D64CC5"/>
    <w:rsid w:val="00D653DA"/>
    <w:rsid w:val="00D72330"/>
    <w:rsid w:val="00D76221"/>
    <w:rsid w:val="00D9248B"/>
    <w:rsid w:val="00DB386B"/>
    <w:rsid w:val="00DB4E9D"/>
    <w:rsid w:val="00DB5EFD"/>
    <w:rsid w:val="00DB5FB3"/>
    <w:rsid w:val="00DB68F9"/>
    <w:rsid w:val="00DC15C4"/>
    <w:rsid w:val="00DC5118"/>
    <w:rsid w:val="00DE208A"/>
    <w:rsid w:val="00DE77B0"/>
    <w:rsid w:val="00DF6684"/>
    <w:rsid w:val="00E21A17"/>
    <w:rsid w:val="00E40216"/>
    <w:rsid w:val="00E67DAE"/>
    <w:rsid w:val="00E90528"/>
    <w:rsid w:val="00E94BCA"/>
    <w:rsid w:val="00EB3A97"/>
    <w:rsid w:val="00EC3D49"/>
    <w:rsid w:val="00EC688A"/>
    <w:rsid w:val="00EC7C78"/>
    <w:rsid w:val="00ED1A2D"/>
    <w:rsid w:val="00EE2827"/>
    <w:rsid w:val="00EE5476"/>
    <w:rsid w:val="00EF01A7"/>
    <w:rsid w:val="00EF1A52"/>
    <w:rsid w:val="00EF61B3"/>
    <w:rsid w:val="00F02E40"/>
    <w:rsid w:val="00F0581E"/>
    <w:rsid w:val="00F0630D"/>
    <w:rsid w:val="00F142A0"/>
    <w:rsid w:val="00F14DA1"/>
    <w:rsid w:val="00F203F2"/>
    <w:rsid w:val="00F31A91"/>
    <w:rsid w:val="00F3694B"/>
    <w:rsid w:val="00F50976"/>
    <w:rsid w:val="00F64620"/>
    <w:rsid w:val="00F6596B"/>
    <w:rsid w:val="00F71460"/>
    <w:rsid w:val="00F74AFB"/>
    <w:rsid w:val="00F812F4"/>
    <w:rsid w:val="00F862B0"/>
    <w:rsid w:val="00FB02B1"/>
    <w:rsid w:val="00FB3138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9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236</cp:revision>
  <cp:lastPrinted>2024-04-09T09:16:00Z</cp:lastPrinted>
  <dcterms:created xsi:type="dcterms:W3CDTF">2021-06-08T09:04:00Z</dcterms:created>
  <dcterms:modified xsi:type="dcterms:W3CDTF">2024-04-12T14:22:00Z</dcterms:modified>
</cp:coreProperties>
</file>