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9363" w14:textId="3014A460" w:rsidR="0003240A" w:rsidRPr="0003240A" w:rsidRDefault="0003240A" w:rsidP="0011228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548EF892" w14:textId="42607510" w:rsidR="0003240A" w:rsidRPr="0003240A" w:rsidRDefault="0003240A" w:rsidP="0011228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68591DAF" w14:textId="7E3DDA38" w:rsidR="0003240A" w:rsidRPr="0003240A" w:rsidRDefault="0003240A" w:rsidP="0011228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4FC813A0" w14:textId="77C2BDD3" w:rsidR="0003240A" w:rsidRPr="0003240A" w:rsidRDefault="0003240A" w:rsidP="0011228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6BC1DD3B" w14:textId="77777777" w:rsidR="0003240A" w:rsidRPr="0003240A" w:rsidRDefault="0003240A" w:rsidP="0011228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7EE7B01" w14:textId="37CFDE56" w:rsidR="0003240A" w:rsidRDefault="00112284" w:rsidP="0011228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240A"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28DFC675" w14:textId="77777777" w:rsidR="0003240A" w:rsidRPr="0003240A" w:rsidRDefault="0003240A" w:rsidP="00032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B4B27E" w14:textId="50743809" w:rsidR="0023036D" w:rsidRDefault="0003240A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</w:t>
      </w:r>
    </w:p>
    <w:p w14:paraId="39A3AA5C" w14:textId="5BF0CD9C" w:rsidR="002D2C8E" w:rsidRDefault="00E40216" w:rsidP="002D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03240A">
        <w:rPr>
          <w:rFonts w:ascii="Times New Roman" w:hAnsi="Times New Roman"/>
          <w:b/>
          <w:bCs/>
          <w:color w:val="000000"/>
          <w:sz w:val="24"/>
          <w:szCs w:val="24"/>
        </w:rPr>
        <w:t>электронного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аукциона </w:t>
      </w:r>
      <w:r w:rsidR="002D2C8E" w:rsidRPr="002D2C8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право заключения договора аренды земельного участка с кадастровым номером </w:t>
      </w:r>
      <w:r w:rsidR="00EF534D" w:rsidRPr="00EF534D">
        <w:rPr>
          <w:rFonts w:ascii="Times New Roman" w:hAnsi="Times New Roman"/>
          <w:b/>
          <w:bCs/>
          <w:color w:val="000000"/>
          <w:sz w:val="24"/>
          <w:szCs w:val="24"/>
        </w:rPr>
        <w:t>39:17:020019:2</w:t>
      </w:r>
      <w:r w:rsidR="002D2C8E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</w:p>
    <w:p w14:paraId="435ACE3C" w14:textId="77777777" w:rsidR="00EF534D" w:rsidRDefault="002D2C8E" w:rsidP="002D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находящегося в собственности муниципального образования </w:t>
      </w:r>
    </w:p>
    <w:p w14:paraId="37CB99BF" w14:textId="400CBA7B" w:rsidR="002D2C8E" w:rsidRDefault="002D2C8E" w:rsidP="002D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«Светлогорский городской округ</w:t>
      </w:r>
    </w:p>
    <w:p w14:paraId="14152423" w14:textId="77777777" w:rsidR="002D2C8E" w:rsidRDefault="002D2C8E" w:rsidP="0003240A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11228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B571" w14:textId="77777777" w:rsidR="00E40216" w:rsidRPr="00EF4DF6" w:rsidRDefault="00E40216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58696EE6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</w:t>
            </w:r>
            <w:r w:rsidR="00032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аукцион</w:t>
            </w:r>
          </w:p>
        </w:tc>
      </w:tr>
      <w:tr w:rsidR="00E40216" w14:paraId="388487F3" w14:textId="77777777" w:rsidTr="0011228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97F0" w14:textId="77777777" w:rsidR="00E40216" w:rsidRPr="00EF4DF6" w:rsidRDefault="00E40216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0B722560" w:rsidR="00E4021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03240A" w:rsidRPr="00EF52EC">
                <w:rPr>
                  <w:rStyle w:val="a6"/>
                </w:rPr>
                <w:t>www.</w:t>
              </w:r>
              <w:r w:rsidR="0003240A" w:rsidRPr="00EF52EC">
                <w:rPr>
                  <w:rStyle w:val="a6"/>
                  <w:lang w:val="en-US"/>
                </w:rPr>
                <w:t>svetlogorsk</w:t>
              </w:r>
              <w:r w:rsidR="0003240A" w:rsidRPr="00EF52EC">
                <w:rPr>
                  <w:rStyle w:val="a6"/>
                </w:rPr>
                <w:t>39.</w:t>
              </w:r>
              <w:r w:rsidR="0003240A" w:rsidRPr="00EF52EC">
                <w:rPr>
                  <w:rStyle w:val="a6"/>
                  <w:lang w:val="en-US"/>
                </w:rPr>
                <w:t>ru</w:t>
              </w:r>
            </w:hyperlink>
          </w:p>
          <w:p w14:paraId="4E5CB8A1" w14:textId="0C68FB2C" w:rsidR="00E67DAE" w:rsidRPr="0003240A" w:rsidRDefault="00000000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03240A"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03240A"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3240A"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="0003240A" w:rsidRPr="00EF52EC">
                <w:rPr>
                  <w:rStyle w:val="a6"/>
                  <w:sz w:val="24"/>
                  <w:szCs w:val="24"/>
                </w:rPr>
                <w:t>.</w:t>
              </w:r>
              <w:r w:rsidR="0003240A"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="0003240A"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3240A"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623DA8F" w14:textId="43CC7F5C" w:rsidR="00E40216" w:rsidRPr="0003240A" w:rsidRDefault="00000000" w:rsidP="0003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03240A" w:rsidRPr="00EF52EC">
                <w:rPr>
                  <w:rStyle w:val="a6"/>
                  <w:sz w:val="24"/>
                  <w:szCs w:val="24"/>
                  <w:lang w:val="en-US"/>
                </w:rPr>
                <w:t>www.rts-tender.ru</w:t>
              </w:r>
            </w:hyperlink>
          </w:p>
        </w:tc>
      </w:tr>
      <w:tr w:rsidR="00E40216" w14:paraId="047B035B" w14:textId="77777777" w:rsidTr="0011228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7BD0" w14:textId="055D85C0" w:rsidR="00E40216" w:rsidRPr="00EF4DF6" w:rsidRDefault="00E40216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60309710" w:rsidR="00E40216" w:rsidRPr="0003240A" w:rsidRDefault="0003240A" w:rsidP="00032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387"/>
      </w:tblGrid>
      <w:tr w:rsidR="002135F4" w14:paraId="043F383E" w14:textId="77777777" w:rsidTr="00112284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3DA0C" w14:textId="53612427" w:rsidR="002135F4" w:rsidRPr="0003240A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8D063" w14:textId="3044D533" w:rsidR="002135F4" w:rsidRPr="0003240A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A86" w14:textId="42DEFC9F" w:rsidR="002135F4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№1. 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аренды земельного участка с кадастровым номером: 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>39:17:020019:2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, общей площадью </w:t>
            </w:r>
            <w:r w:rsidR="00EF534D">
              <w:rPr>
                <w:rFonts w:ascii="Times New Roman" w:hAnsi="Times New Roman"/>
                <w:sz w:val="24"/>
                <w:szCs w:val="24"/>
              </w:rPr>
              <w:t xml:space="preserve">632 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квадратных метров, имеющего местоположение: 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>Калининградская обл</w:t>
            </w:r>
            <w:r w:rsidR="00EF534D">
              <w:rPr>
                <w:rFonts w:ascii="Times New Roman" w:hAnsi="Times New Roman"/>
                <w:sz w:val="24"/>
                <w:szCs w:val="24"/>
              </w:rPr>
              <w:t>.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>, г</w:t>
            </w:r>
            <w:r w:rsidR="00EF534D">
              <w:rPr>
                <w:rFonts w:ascii="Times New Roman" w:hAnsi="Times New Roman"/>
                <w:sz w:val="24"/>
                <w:szCs w:val="24"/>
              </w:rPr>
              <w:t>.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 xml:space="preserve"> Светлогорск, ул</w:t>
            </w:r>
            <w:r w:rsidR="00EF534D">
              <w:rPr>
                <w:rFonts w:ascii="Times New Roman" w:hAnsi="Times New Roman"/>
                <w:sz w:val="24"/>
                <w:szCs w:val="24"/>
              </w:rPr>
              <w:t>.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 xml:space="preserve"> Тельмана, у дома 16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35F4" w14:paraId="6B8B08E7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1F572" w14:textId="50B4D8D0" w:rsidR="002135F4" w:rsidRPr="0003240A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62B99" w14:textId="1DC0D401" w:rsidR="002135F4" w:rsidRPr="0003240A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 (арендодатель):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7595" w14:textId="0B87B5F9" w:rsidR="002135F4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>Светлогорский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2165D0" w14:textId="71175172" w:rsidR="002135F4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664BBD25" w14:textId="7A2EECDD" w:rsidR="002135F4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02A41374" w14:textId="68DEA2FB" w:rsidR="002135F4" w:rsidRPr="0023036D" w:rsidRDefault="00EF534D" w:rsidP="00EF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34D">
              <w:rPr>
                <w:rFonts w:ascii="Times New Roman" w:hAnsi="Times New Roman"/>
                <w:sz w:val="24"/>
                <w:szCs w:val="24"/>
              </w:rPr>
              <w:t>39-39-03/239/2010-413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EF534D">
              <w:rPr>
                <w:rFonts w:ascii="Times New Roman" w:hAnsi="Times New Roman"/>
                <w:sz w:val="24"/>
                <w:szCs w:val="24"/>
              </w:rPr>
              <w:t>19.10.2010</w:t>
            </w:r>
          </w:p>
        </w:tc>
      </w:tr>
      <w:tr w:rsidR="002135F4" w14:paraId="45225F19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0C13D" w14:textId="44EE8BF0" w:rsidR="002135F4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E6DC2" w14:textId="3F81CA0A" w:rsidR="002135F4" w:rsidRPr="0003240A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36D" w14:textId="77777777" w:rsidR="002135F4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1E183FB9" w14:textId="76DFDADA" w:rsidR="002135F4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238560, Калининградская обл., </w:t>
            </w:r>
            <w:r w:rsidR="002D2C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Светлогорск, Калининградский проспект 77А.</w:t>
            </w:r>
          </w:p>
          <w:p w14:paraId="235150BC" w14:textId="77777777" w:rsidR="002135F4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0192FC71" w14:textId="77777777" w:rsidR="002135F4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65865574" w14:textId="77777777" w:rsidR="002135F4" w:rsidRPr="00050536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4EA5AE73" w14:textId="44341D41" w:rsidR="002135F4" w:rsidRPr="00050536" w:rsidRDefault="002135F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 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2135F4" w14:paraId="76F17C87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ED89" w14:textId="0E7B5101" w:rsidR="002135F4" w:rsidRPr="00EF4DF6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E175DD" w14:textId="767238AB" w:rsidR="002135F4" w:rsidRPr="00EF4DF6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ECE0" w14:textId="23F9318E" w:rsidR="002135F4" w:rsidRPr="001C49E7" w:rsidRDefault="002135F4" w:rsidP="00E36C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4CEF1F6C" w14:textId="0DD600E2" w:rsidR="002135F4" w:rsidRPr="001C49E7" w:rsidRDefault="002135F4" w:rsidP="00E36C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C95481B" w14:textId="65EC9BFE" w:rsidR="002135F4" w:rsidRPr="001C49E7" w:rsidRDefault="002135F4" w:rsidP="00E36C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43D2541C" w14:textId="388D2CD4" w:rsidR="002135F4" w:rsidRPr="007C38FF" w:rsidRDefault="002135F4" w:rsidP="00E36C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135F4" w14:paraId="0D3346D8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51CA9" w14:textId="2BDF4C89" w:rsidR="002135F4" w:rsidRPr="007C38FF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46221" w14:textId="4D496C86" w:rsidR="002135F4" w:rsidRPr="00EF4DF6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8B71" w14:textId="1D37D639" w:rsidR="002135F4" w:rsidRDefault="002135F4" w:rsidP="00E36C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«</w:t>
            </w:r>
            <w:r w:rsidR="009F67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F6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9F67BE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электронного аукциона на право заключения договора аренды земельного участка с кадастровым номером 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>39:17:020019:2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2135F4" w14:paraId="578E2DFD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F9A87" w14:textId="3087EDF3" w:rsidR="002135F4" w:rsidRPr="007C38FF" w:rsidRDefault="007B55DB" w:rsidP="00EF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33663" w14:textId="4EB939EA" w:rsidR="002135F4" w:rsidRPr="007C38FF" w:rsidRDefault="002135F4" w:rsidP="00EF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0E69" w14:textId="5AEC87EF" w:rsidR="002135F4" w:rsidRDefault="002135F4" w:rsidP="00EF534D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с кадастровым номером: 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>39:17:020019:2</w:t>
            </w:r>
          </w:p>
          <w:p w14:paraId="2DD93125" w14:textId="0BCEFE3A" w:rsidR="002135F4" w:rsidRDefault="002135F4" w:rsidP="00EF534D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Местоположение: 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Калининградская обл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>, г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Светлогорск, ул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Тельмана, у дома 16.</w:t>
            </w:r>
          </w:p>
          <w:p w14:paraId="213A8875" w14:textId="200265EC" w:rsidR="002135F4" w:rsidRDefault="002135F4" w:rsidP="00EF534D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площадь: 6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кв.м.</w:t>
            </w:r>
          </w:p>
          <w:p w14:paraId="7548D8C7" w14:textId="05ACD38C" w:rsidR="002135F4" w:rsidRPr="004B794E" w:rsidRDefault="002135F4" w:rsidP="00EF534D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собственности: муниципальная (сведения о регистрации права собственности: 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>39-39-03/239/2010-413</w:t>
            </w:r>
            <w:r w:rsidR="00EF534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F534D" w:rsidRPr="00EF534D">
              <w:rPr>
                <w:rFonts w:ascii="Times New Roman" w:hAnsi="Times New Roman"/>
                <w:sz w:val="24"/>
                <w:szCs w:val="24"/>
              </w:rPr>
              <w:t>19.10.2010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6B13345" w14:textId="77777777" w:rsidR="002135F4" w:rsidRPr="004B794E" w:rsidRDefault="002135F4" w:rsidP="00EF534D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земель: земли населённых пунктов.</w:t>
            </w:r>
          </w:p>
          <w:p w14:paraId="5708A3F9" w14:textId="77777777" w:rsidR="002135F4" w:rsidRPr="004B794E" w:rsidRDefault="002135F4" w:rsidP="00EF534D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Разрешённое использование земельного участка: для индивидуального жилищного строительства.</w:t>
            </w:r>
          </w:p>
          <w:p w14:paraId="0187735C" w14:textId="74D9990D" w:rsidR="002135F4" w:rsidRPr="004B794E" w:rsidRDefault="002135F4" w:rsidP="00EF534D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670 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>четыре миллиона шестьсот двенадцать тысяч шестьсот семьдесят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рублей 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 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копеек. </w:t>
            </w:r>
          </w:p>
          <w:p w14:paraId="5E64AEAE" w14:textId="7DF40AE5" w:rsidR="002135F4" w:rsidRPr="000D39D7" w:rsidRDefault="002135F4" w:rsidP="00EF5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Ограничения/обременения в использовании земельного участка: </w:t>
            </w:r>
            <w:bookmarkStart w:id="0" w:name="_Hlk160454013"/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>Пионерск</w:t>
            </w:r>
            <w:proofErr w:type="spellEnd"/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>Пионерск</w:t>
            </w:r>
            <w:proofErr w:type="spellEnd"/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статьями 56, 56.1 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кодекса Российской Федерации; Срок действия: c 27.05.2019; Реквизиты документа- 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 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ZoneToGKN_051209039000_e1b9ce19-8c42-4d9e-b609- 68786a026f32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 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</w:t>
            </w:r>
            <w:r w:rsidR="00EF534D" w:rsidRPr="00EF53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зоны от 09.08.2018 № ZoneToGKN_051209039000_6b62925b-fbf2-4bbc-b353- b58e4385b6f8 выдан: ООО "ЗЕМЛЕМЕР" (Истомина Надежда Александровна). Сведения, необходимые для заполнения разделов: 4 - Сведения о частях земельного участка; </w:t>
            </w:r>
            <w:bookmarkEnd w:id="0"/>
          </w:p>
        </w:tc>
      </w:tr>
      <w:tr w:rsidR="002135F4" w14:paraId="37D81C75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BE504" w14:textId="69C0565F" w:rsidR="002135F4" w:rsidRPr="004B794E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872884" w14:textId="2D0802B0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351" w14:textId="36C8238E" w:rsidR="002135F4" w:rsidRPr="0023036D" w:rsidRDefault="002135F4" w:rsidP="00E36C2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Генеральному плану</w:t>
            </w:r>
            <w:r w:rsidRPr="004B794E">
              <w:rPr>
                <w:rFonts w:ascii="Times New Roman" w:eastAsia="Times New Roman" w:hAnsi="Times New Roman"/>
              </w:rPr>
              <w:t xml:space="preserve"> муниципального образования «Светлогорский городской округ», утвержденного </w:t>
            </w:r>
            <w:r w:rsidR="00AB05F8">
              <w:rPr>
                <w:rFonts w:ascii="Times New Roman" w:eastAsia="Times New Roman" w:hAnsi="Times New Roman"/>
              </w:rPr>
              <w:t>п</w:t>
            </w:r>
            <w:r w:rsidRPr="004B794E">
              <w:rPr>
                <w:rFonts w:ascii="Times New Roman" w:eastAsia="Times New Roman" w:hAnsi="Times New Roman"/>
              </w:rPr>
              <w:t xml:space="preserve">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 с кадастровым номером </w:t>
            </w:r>
            <w:r w:rsidR="00EF534D" w:rsidRPr="00EF534D">
              <w:rPr>
                <w:rFonts w:ascii="Times New Roman" w:eastAsia="Times New Roman" w:hAnsi="Times New Roman"/>
              </w:rPr>
              <w:t>39:17:020019:2</w:t>
            </w:r>
            <w:r w:rsidR="00EF534D">
              <w:rPr>
                <w:rFonts w:ascii="Times New Roman" w:eastAsia="Times New Roman" w:hAnsi="Times New Roman"/>
              </w:rPr>
              <w:t xml:space="preserve"> </w:t>
            </w:r>
            <w:r w:rsidRPr="004B794E">
              <w:rPr>
                <w:rFonts w:ascii="Times New Roman" w:eastAsia="Times New Roman" w:hAnsi="Times New Roman"/>
              </w:rPr>
              <w:t>расположен в функциональной зоне застройки индивидуальными жилыми домами.</w:t>
            </w:r>
          </w:p>
          <w:p w14:paraId="7B50F6D8" w14:textId="6DF5F500" w:rsidR="002135F4" w:rsidRDefault="002135F4" w:rsidP="00E36C2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Правилам землепользования и застройки</w:t>
            </w:r>
            <w:r w:rsidRPr="0023036D">
              <w:rPr>
                <w:rFonts w:ascii="Times New Roman" w:eastAsia="Times New Roman" w:hAnsi="Times New Roman"/>
              </w:rPr>
              <w:t xml:space="preserve"> муниципального образования городское поселение «Город Светлогорск», утвержденным решением окружного Совета депутатов муниципального образования «Город Светлогорск» от 22.12.2012 №94, земельный участок расположен в зоне застройки индивидуальными жилыми домами (Ж1.2).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2E3AF2A6" w14:textId="7777777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</w:p>
          <w:p w14:paraId="267B85F3" w14:textId="77DC3ED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предельные размеры земельного участка (за исключением земельного участка блокированной жилой застройки): </w:t>
            </w:r>
            <w:r w:rsidR="000010E0"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–</w:t>
            </w: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400 кв. м; максимальный - 1500 кв.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м;</w:t>
            </w:r>
          </w:p>
          <w:p w14:paraId="6BCE853B" w14:textId="69695F02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- предельные размеры земельного участка блокированной жилой застройки: минимальный – 150 кв. м; максимальный - 400 кв.</w:t>
            </w:r>
            <w:r w:rsidR="00EF5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м;</w:t>
            </w:r>
          </w:p>
          <w:p w14:paraId="6CDA0CFC" w14:textId="7777777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043116C3" w14:textId="7777777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предельная высота зданий, строений, сооружений – 15 м; </w:t>
            </w:r>
          </w:p>
          <w:p w14:paraId="6A42EA03" w14:textId="7777777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- предельная этажность зданий – 3 этажа; (изм. внесены Постановлением Правительства КО от 21.02.2018 № 98)</w:t>
            </w:r>
          </w:p>
          <w:p w14:paraId="2418779E" w14:textId="7777777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- максимальный процент застройки в границах земельного участка – 40%;</w:t>
            </w:r>
          </w:p>
          <w:p w14:paraId="59B1ABE8" w14:textId="7777777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минимальный отступ зданий от красной линии – 5 м. </w:t>
            </w:r>
          </w:p>
          <w:p w14:paraId="101CD660" w14:textId="7777777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минимальные расстояния между сторонами зданий – определяются в соответствии с санитарными, пожарными и строительными нормативами; </w:t>
            </w:r>
          </w:p>
          <w:p w14:paraId="3D58D45A" w14:textId="77777777" w:rsidR="002135F4" w:rsidRPr="0023036D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от стен зданий до площадок для отдыха и хозяйственных площадок (включая площадки для сбора бытовых отходов) – определяются в соответствии с санитарными и строительными нормативами; </w:t>
            </w:r>
          </w:p>
          <w:p w14:paraId="3353FB30" w14:textId="13D7525F" w:rsidR="002135F4" w:rsidRDefault="002135F4" w:rsidP="00E36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минимальные расстояния от стен зданий до проездов и стоянок индивидуального автотранспорта – определяются в соответствии с санитарными и строительными нормативами;</w:t>
            </w:r>
          </w:p>
        </w:tc>
      </w:tr>
      <w:tr w:rsidR="002135F4" w14:paraId="3EAB9AAD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A62AA" w14:textId="12BE6536" w:rsidR="002135F4" w:rsidRPr="004B794E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87AEF" w14:textId="0B6DA472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3E211923" w14:textId="77777777" w:rsidR="002135F4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7423" w14:textId="77777777" w:rsidR="00EF534D" w:rsidRPr="00EF534D" w:rsidRDefault="00EF534D" w:rsidP="00EF5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3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34D">
              <w:rPr>
                <w:rFonts w:ascii="Times New Roman" w:hAnsi="Times New Roman"/>
                <w:sz w:val="24"/>
                <w:szCs w:val="24"/>
                <w:u w:val="single"/>
              </w:rPr>
              <w:t>к сетям централизованной системы холодного водоснабжения:</w:t>
            </w:r>
            <w:r w:rsidRPr="00EF534D">
              <w:rPr>
                <w:rFonts w:ascii="Times New Roman" w:hAnsi="Times New Roman"/>
                <w:sz w:val="24"/>
                <w:szCs w:val="24"/>
              </w:rPr>
              <w:t xml:space="preserve"> имеется техническая возможность подключения. Точка подключения к централизованной системе холодного водоснабжения – существующий трубопровод Д - 100 мм чугун по ул. Тельмана в г. Светлогорске. Максимальная возможная подключаемая нагрузка в указанной выше точке подключения составляет не более 1,15 </w:t>
            </w:r>
            <w:proofErr w:type="spellStart"/>
            <w:proofErr w:type="gramStart"/>
            <w:r w:rsidRPr="00EF534D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EF534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34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EF534D">
              <w:rPr>
                <w:rFonts w:ascii="Times New Roman" w:hAnsi="Times New Roman"/>
                <w:sz w:val="24"/>
                <w:szCs w:val="24"/>
              </w:rPr>
              <w:t>. Срок, в течение которого правообладатель представленного земельного участка может обратиться для заключения договора о подключении (технологическом присоединении) составляет 3 (три) месяца со дня предоставления указанной информации.  (исх. №Свт-и-165 от 16.02.2024);</w:t>
            </w:r>
          </w:p>
          <w:p w14:paraId="4C5B4698" w14:textId="77777777" w:rsidR="00EF534D" w:rsidRPr="00EF534D" w:rsidRDefault="00EF534D" w:rsidP="00EF5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3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34D">
              <w:rPr>
                <w:rFonts w:ascii="Times New Roman" w:hAnsi="Times New Roman"/>
                <w:sz w:val="24"/>
                <w:szCs w:val="24"/>
                <w:u w:val="single"/>
              </w:rPr>
              <w:t>к хозяйственно-бытовой канализации</w:t>
            </w:r>
            <w:r w:rsidRPr="00EF534D">
              <w:rPr>
                <w:rFonts w:ascii="Times New Roman" w:hAnsi="Times New Roman"/>
                <w:sz w:val="24"/>
                <w:szCs w:val="24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от 15.02.2024, исх. №143;</w:t>
            </w:r>
          </w:p>
          <w:p w14:paraId="64B01400" w14:textId="77777777" w:rsidR="00EF534D" w:rsidRPr="00EF534D" w:rsidRDefault="00EF534D" w:rsidP="00EF5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3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34D">
              <w:rPr>
                <w:rFonts w:ascii="Times New Roman" w:hAnsi="Times New Roman"/>
                <w:sz w:val="24"/>
                <w:szCs w:val="24"/>
                <w:u w:val="single"/>
              </w:rPr>
              <w:t>к сетям ливневой канализации:</w:t>
            </w:r>
            <w:r w:rsidRPr="00EF534D">
              <w:rPr>
                <w:rFonts w:ascii="Times New Roman" w:hAnsi="Times New Roman"/>
                <w:sz w:val="24"/>
                <w:szCs w:val="24"/>
              </w:rPr>
              <w:t xml:space="preserve"> в данном районе централизованные сети ливневой канализации отсутствуют. (исх. №32 от 15.02.2024 г.);</w:t>
            </w:r>
          </w:p>
          <w:p w14:paraId="51FC3B96" w14:textId="77777777" w:rsidR="00EF534D" w:rsidRPr="00EF534D" w:rsidRDefault="00EF534D" w:rsidP="00EF5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3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34D">
              <w:rPr>
                <w:rFonts w:ascii="Times New Roman" w:hAnsi="Times New Roman"/>
                <w:sz w:val="24"/>
                <w:szCs w:val="24"/>
                <w:u w:val="single"/>
              </w:rPr>
              <w:t>к сетям теплоснабжения:</w:t>
            </w:r>
            <w:r w:rsidRPr="00EF534D">
              <w:rPr>
                <w:rFonts w:ascii="Times New Roman" w:hAnsi="Times New Roman"/>
                <w:sz w:val="24"/>
                <w:szCs w:val="24"/>
              </w:rPr>
              <w:t xml:space="preserve"> земельный участок находится вне зоны радиуса эффективного теплоснабжения, который был определен при актуализации схемы теплоснабжения муниципального образования «Светлогорский городской округ» Калининградской области до 2040 года (актуализация на 2022-2023 гг.), утвержденная Постановлением Администрации №392 от 02.05.2023 года. (исх. № 14 от19.02.2024);</w:t>
            </w:r>
          </w:p>
          <w:p w14:paraId="5486BF6F" w14:textId="77777777" w:rsidR="00EF534D" w:rsidRPr="00EF534D" w:rsidRDefault="00EF534D" w:rsidP="00EF5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3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34D">
              <w:rPr>
                <w:rFonts w:ascii="Times New Roman" w:hAnsi="Times New Roman"/>
                <w:sz w:val="24"/>
                <w:szCs w:val="24"/>
                <w:u w:val="single"/>
              </w:rPr>
              <w:t>к газораспределительным сетям природного газа</w:t>
            </w:r>
            <w:r w:rsidRPr="00EF534D">
              <w:rPr>
                <w:rFonts w:ascii="Times New Roman" w:hAnsi="Times New Roman"/>
                <w:sz w:val="24"/>
                <w:szCs w:val="24"/>
              </w:rPr>
              <w:t xml:space="preserve"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</w:t>
            </w:r>
            <w:r w:rsidRPr="00EF534D">
              <w:rPr>
                <w:rFonts w:ascii="Times New Roman" w:hAnsi="Times New Roman"/>
                <w:sz w:val="24"/>
                <w:szCs w:val="24"/>
              </w:rPr>
              <w:lastRenderedPageBreak/>
              <w:t>источником газоснабжения которых является ГРС «Светлогорск». Использование газа возможно на цели отопления, горячего водоснабжения и пищеприготовления. Планируемый максимально-часовой расход природного газа – 5,0 м куб./час (исх. №5128 от 15.02.2024).</w:t>
            </w:r>
          </w:p>
          <w:p w14:paraId="19431C91" w14:textId="14B6E5AB" w:rsidR="002135F4" w:rsidRPr="0012677E" w:rsidRDefault="00EF534D" w:rsidP="00E3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34D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от 04.03.2024 года подготовлен. Имеется в распоряжении организатора аукциона.</w:t>
            </w:r>
          </w:p>
        </w:tc>
      </w:tr>
      <w:tr w:rsidR="002135F4" w14:paraId="0438BD20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5A979" w14:textId="2D3D9545" w:rsidR="002135F4" w:rsidRPr="004B794E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59BAEF" w14:textId="28B7BE8B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45BC" w14:textId="7A4A9B22" w:rsidR="002135F4" w:rsidRPr="00AB05F8" w:rsidRDefault="002135F4" w:rsidP="00E3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8">
              <w:rPr>
                <w:rFonts w:ascii="Times New Roman" w:hAnsi="Times New Roman"/>
                <w:sz w:val="24"/>
                <w:szCs w:val="24"/>
              </w:rPr>
              <w:t>Электронный аукцион</w:t>
            </w:r>
          </w:p>
          <w:p w14:paraId="1930E7C9" w14:textId="77777777" w:rsidR="002135F4" w:rsidRPr="00AB05F8" w:rsidRDefault="002135F4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5F4" w14:paraId="609571F9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AA840" w14:textId="0A0BAEFC" w:rsidR="002135F4" w:rsidRPr="004B794E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64230" w14:textId="56134BAA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E9C" w14:textId="13303F1A" w:rsidR="002135F4" w:rsidRPr="00AB05F8" w:rsidRDefault="0012677E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77E">
              <w:rPr>
                <w:rFonts w:ascii="Times New Roman" w:hAnsi="Times New Roman"/>
                <w:sz w:val="24"/>
                <w:szCs w:val="24"/>
              </w:rPr>
              <w:t>1 476 054 (один миллион четыреста семьдесят шесть тысяч пятьдесят четыре) рубля 71 копейка</w:t>
            </w:r>
          </w:p>
        </w:tc>
      </w:tr>
      <w:tr w:rsidR="002135F4" w14:paraId="2DB1D5AC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12667" w14:textId="4E8EF246" w:rsidR="002135F4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B046F" w14:textId="742583E0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(3%)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890" w14:textId="468BFA52" w:rsidR="002135F4" w:rsidRPr="00AB05F8" w:rsidRDefault="0012677E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77E">
              <w:rPr>
                <w:rFonts w:ascii="Times New Roman" w:hAnsi="Times New Roman"/>
                <w:sz w:val="24"/>
                <w:szCs w:val="24"/>
              </w:rPr>
              <w:t>44 281 (сорок четыре тысячи двести восемьдесят один) рубль 64 копейки.</w:t>
            </w:r>
          </w:p>
        </w:tc>
      </w:tr>
      <w:tr w:rsidR="002135F4" w14:paraId="327F9640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A6DFE" w14:textId="2F5EBA5C" w:rsidR="002135F4" w:rsidRPr="00700C80" w:rsidRDefault="007B55DB" w:rsidP="0011228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9CB43" w14:textId="6EA1A24A" w:rsidR="002135F4" w:rsidRPr="00700C80" w:rsidRDefault="002135F4" w:rsidP="0011228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12677E">
              <w:rPr>
                <w:rFonts w:ascii="Times New Roman" w:hAnsi="Times New Roman"/>
                <w:sz w:val="24"/>
                <w:szCs w:val="24"/>
              </w:rPr>
              <w:t>1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B80" w14:textId="6463B75F" w:rsidR="002135F4" w:rsidRPr="00AB05F8" w:rsidRDefault="0012677E" w:rsidP="001267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Hlk160454222"/>
            <w:r w:rsidRPr="0012677E">
              <w:rPr>
                <w:rFonts w:ascii="Times New Roman" w:hAnsi="Times New Roman"/>
                <w:sz w:val="24"/>
                <w:szCs w:val="24"/>
              </w:rPr>
              <w:t>147 605 (сто сорок семь тысяч шестьсот пять) рублей 47 копеек</w:t>
            </w:r>
            <w:bookmarkEnd w:id="1"/>
          </w:p>
        </w:tc>
      </w:tr>
      <w:tr w:rsidR="002135F4" w14:paraId="59B4FD21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A363B" w14:textId="4BFBFBCA" w:rsidR="002135F4" w:rsidRPr="00700C80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8A663" w14:textId="740A6464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color w:val="000000"/>
                <w:sz w:val="24"/>
                <w:szCs w:val="24"/>
              </w:rPr>
              <w:t>Срок аренды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E49" w14:textId="2F8A0525" w:rsidR="002135F4" w:rsidRPr="00AB05F8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8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2135F4" w14:paraId="5B73CFC8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F0008" w14:textId="59B10DA6" w:rsidR="002135F4" w:rsidRPr="002C3EAE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597E3" w14:textId="7BBF5078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86A" w14:textId="2E36AD66" w:rsidR="002135F4" w:rsidRPr="00AB05F8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2135F4" w14:paraId="32ACF83C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53B08" w14:textId="69C2444C" w:rsidR="002135F4" w:rsidRPr="002C3EAE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E70DD" w14:textId="2431173D" w:rsidR="002135F4" w:rsidRPr="002C3EA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AFB2" w14:textId="3B63A366" w:rsidR="002135F4" w:rsidRPr="00776393" w:rsidRDefault="002135F4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по адресу: https://torgi.gov.ru/new/public (далее – официальный сайт), официальном сайте органов местного самоуправления муниципального образования «Светлогорский городской округ» по адресу: </w:t>
            </w:r>
            <w:hyperlink r:id="rId11" w:history="1">
              <w:r w:rsidRPr="00776393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Pr="00776393">
              <w:rPr>
                <w:bCs/>
                <w:lang w:val="ru-RU"/>
              </w:rPr>
              <w:t xml:space="preserve">, на электронной торговой площадке ООО «РТС-тендер» по адресу: </w:t>
            </w:r>
            <w:hyperlink r:id="rId12" w:history="1">
              <w:r w:rsidRPr="00776393">
                <w:rPr>
                  <w:rStyle w:val="a6"/>
                  <w:bCs/>
                  <w:lang w:val="ru-RU"/>
                </w:rPr>
                <w:t>www.rts-tender.ru</w:t>
              </w:r>
            </w:hyperlink>
            <w:r w:rsidRPr="00776393">
              <w:rPr>
                <w:bCs/>
                <w:lang w:val="ru-RU"/>
              </w:rPr>
              <w:t>.</w:t>
            </w:r>
          </w:p>
        </w:tc>
      </w:tr>
      <w:tr w:rsidR="002135F4" w14:paraId="334184C7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6F99D" w14:textId="40F17534" w:rsidR="002135F4" w:rsidRPr="00AE2390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791C8" w14:textId="02C65A68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Место подачи заявок /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D81" w14:textId="194D8FA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Подача заявок и проведение аукциона осуществляется на электронной торговой площадке www.rts-tender.ru</w:t>
            </w:r>
          </w:p>
        </w:tc>
      </w:tr>
      <w:tr w:rsidR="002135F4" w14:paraId="0BE2667B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08B1B" w14:textId="0E41053F" w:rsidR="002135F4" w:rsidRPr="00AE2390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7AEAD" w14:textId="6B22A77E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E21" w14:textId="3D50C5B3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Для прохождения процедуры регистрации (аккредитации) на электронной площадке ООО «РТС-тендер» Заявителю необходимо иметь ЭП, оформленную в соответствии с требованиями действующего законодательства.</w:t>
            </w:r>
            <w:r w:rsidRPr="00776393">
              <w:rPr>
                <w:sz w:val="24"/>
                <w:szCs w:val="24"/>
              </w:rPr>
              <w:t xml:space="preserve"> </w:t>
            </w: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Порядок регистрации на электронной площадке, правила проведения аукциона в электронной форме: в соответствии с регламентом электронной площадки.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площадке, была ими прекращена.</w:t>
            </w:r>
          </w:p>
          <w:p w14:paraId="35FF9ECF" w14:textId="6BFBFE1E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Дата и время регистрации на электронной площадке заявителей на участие в аукционе осуществляется ежедневно, круглосуточно.</w:t>
            </w:r>
          </w:p>
          <w:p w14:paraId="79524641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ООО «РТС-тендер» в соответствии с Регламентом и Инструкциями.</w:t>
            </w:r>
          </w:p>
          <w:p w14:paraId="1854E503" w14:textId="645E261F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Прием заявок обеспечивается оператором электронной площадки ООО «РТС-тендер» в соответствии с Регламентом и Инструкциями. Один Заявитель вправе подать только одну заявку на участие в аукционе в отношении одного лота аукциона.</w:t>
            </w:r>
          </w:p>
        </w:tc>
      </w:tr>
      <w:tr w:rsidR="002135F4" w14:paraId="7CD1DB60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337A4" w14:textId="295B3587" w:rsidR="002135F4" w:rsidRDefault="007B55D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B6AE3" w14:textId="7D6547DF" w:rsidR="002135F4" w:rsidRPr="004B794E" w:rsidRDefault="002135F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реквизиты счета,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возврата задатка: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445" w14:textId="77777777" w:rsidR="002135F4" w:rsidRPr="00776393" w:rsidRDefault="002135F4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i/>
                <w:iCs/>
                <w:lang w:val="ru-RU"/>
              </w:rPr>
      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аукционе и возврат задатка осуществляются с учетом особенностей, установленных регламентом электронной площадки</w:t>
            </w:r>
            <w:r w:rsidRPr="00776393">
              <w:rPr>
                <w:bCs/>
                <w:lang w:val="ru-RU"/>
              </w:rPr>
              <w:t>.</w:t>
            </w:r>
          </w:p>
          <w:p w14:paraId="69131531" w14:textId="5EA289A1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 наличие денежных средств в размере равном задатку (№.</w:t>
            </w:r>
            <w:r w:rsidR="00DF5787" w:rsidRPr="00776393">
              <w:rPr>
                <w:rFonts w:ascii="Times New Roman" w:hAnsi="Times New Roman"/>
                <w:spacing w:val="-2"/>
                <w:sz w:val="24"/>
                <w:szCs w:val="24"/>
              </w:rPr>
              <w:t>12 в информационной карте).</w:t>
            </w: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Задаток для участия в электронном аукционе должен содержаться на аналитическом счете Заявителя на момент окончания срока приема заявок на участие в аукционе.</w:t>
            </w:r>
          </w:p>
          <w:p w14:paraId="1C20E872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Денежные средства в качестве задатка для участия в аукционе вносятся Заявителем на счет оператора электронной площадки ООО «РТС-тендер» по следующим реквизитам: </w:t>
            </w:r>
          </w:p>
          <w:p w14:paraId="3582299E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получателя: </w:t>
            </w: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ab/>
              <w:t>ООО «РТС-тендер»</w:t>
            </w:r>
          </w:p>
          <w:p w14:paraId="5D8361D2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банка: Филиал «Корпоративный» ПАО «Совкомбанк» </w:t>
            </w:r>
          </w:p>
          <w:p w14:paraId="144CA3D0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Расчетный счёт: 40702810512030016362</w:t>
            </w:r>
          </w:p>
          <w:p w14:paraId="5B3512F7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Корр. счёт: 30101810445250000360</w:t>
            </w:r>
          </w:p>
          <w:p w14:paraId="1E25749C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БИК: 044525360</w:t>
            </w:r>
          </w:p>
          <w:p w14:paraId="1DF74736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ИНН: 7710357167</w:t>
            </w:r>
          </w:p>
          <w:p w14:paraId="3273A17C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КПП: 773001001</w:t>
            </w:r>
          </w:p>
          <w:p w14:paraId="1906D4BC" w14:textId="77777777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      </w:r>
          </w:p>
          <w:p w14:paraId="67472050" w14:textId="3CF18823" w:rsidR="002135F4" w:rsidRPr="00776393" w:rsidRDefault="002135F4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Операции по перечислению денежных средств на аналитическом счете оператора электронной площадки ООО «РТС-тендер» учитываются на аналитическом счете Заявителя, открытом оператором электронной площадки ООО «РТС-тендер».</w:t>
            </w:r>
          </w:p>
          <w:p w14:paraId="2EAF8AAF" w14:textId="77777777" w:rsidR="0011688C" w:rsidRPr="00776393" w:rsidRDefault="0011688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 xml:space="preserve">Порядок возврата задатка определяется регламентом работы электронной площадки </w:t>
            </w:r>
            <w:hyperlink r:id="rId13" w:history="1">
              <w:r w:rsidRPr="00776393">
                <w:rPr>
                  <w:rStyle w:val="a6"/>
                  <w:bCs/>
                  <w:lang w:val="ru-RU"/>
                </w:rPr>
                <w:t>www.rts-tender.ru</w:t>
              </w:r>
            </w:hyperlink>
            <w:r w:rsidRPr="00776393">
              <w:rPr>
                <w:bCs/>
                <w:lang w:val="ru-RU"/>
              </w:rPr>
              <w:t>.</w:t>
            </w:r>
          </w:p>
          <w:p w14:paraId="1F682B73" w14:textId="77777777" w:rsidR="0011688C" w:rsidRPr="00776393" w:rsidRDefault="0011688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>Порядок возврата задатка:</w:t>
            </w:r>
          </w:p>
          <w:p w14:paraId="7A57A660" w14:textId="77777777" w:rsidR="0011688C" w:rsidRPr="00776393" w:rsidRDefault="0011688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>- заявителям, не допущенным к участию в аукционе, задатки возвращается в течение 3 (трех) рабочих дней со дня оформления протокола приема заявок на участие в аукционе;</w:t>
            </w:r>
          </w:p>
          <w:p w14:paraId="0F96BBA5" w14:textId="77777777" w:rsidR="0011688C" w:rsidRPr="00776393" w:rsidRDefault="0011688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>- 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аукциона;</w:t>
            </w:r>
          </w:p>
          <w:p w14:paraId="24A96BB4" w14:textId="77777777" w:rsidR="0011688C" w:rsidRPr="00776393" w:rsidRDefault="0011688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 xml:space="preserve">- заявителю, отозвавшему заявку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      </w:r>
          </w:p>
          <w:p w14:paraId="1295AC2A" w14:textId="77777777" w:rsidR="0011688C" w:rsidRPr="00776393" w:rsidRDefault="0011688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>В случае отказа от проведения аукциона, возврат участникам внесенных задатков осуществляется в течение трех дней со дня принятия решения об отказе.</w:t>
            </w:r>
          </w:p>
          <w:p w14:paraId="12FA7D95" w14:textId="77777777" w:rsidR="0011688C" w:rsidRPr="00776393" w:rsidRDefault="0011688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>- победителю или лицам, которым предложено заключить договор аренды, в соответствии с ЗК РФ, задатки засчитываются в счет аренды земельного участка. Если данные лица отказываются от заключения договора в установленном законом порядке, задатки не возвращаются.</w:t>
            </w:r>
          </w:p>
          <w:p w14:paraId="19C02ED8" w14:textId="2EB08B0E" w:rsidR="0011688C" w:rsidRPr="00776393" w:rsidRDefault="0011688C" w:rsidP="00E3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763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аукциона).</w:t>
            </w:r>
          </w:p>
        </w:tc>
      </w:tr>
      <w:tr w:rsidR="00E828B1" w14:paraId="52839611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954B9" w14:textId="3498C270" w:rsidR="00E828B1" w:rsidRPr="004B794E" w:rsidRDefault="00E828B1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C2375" w14:textId="512E90B4" w:rsidR="00E828B1" w:rsidRPr="00E828B1" w:rsidRDefault="00E828B1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8B1">
              <w:rPr>
                <w:rFonts w:ascii="Times New Roman" w:hAnsi="Times New Roman"/>
                <w:bCs/>
              </w:rPr>
              <w:t>Порядок подачи заявки: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4F5A" w14:textId="3A1A5CA2" w:rsidR="009F20AC" w:rsidRPr="00776393" w:rsidRDefault="009F20A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highlight w:val="yellow"/>
                <w:lang w:val="ru-RU"/>
              </w:rPr>
            </w:pPr>
            <w:r w:rsidRPr="00776393">
              <w:rPr>
                <w:bCs/>
                <w:lang w:val="ru-RU"/>
              </w:rPr>
              <w:t>Заявка на участие в электронном аукционе (по форме согласно приложению № 1 к настоящему извещению о проведении аукциона)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аукционной документации.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3FA90723" w14:textId="4719E535" w:rsidR="00E828B1" w:rsidRPr="00776393" w:rsidRDefault="009F20AC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 xml:space="preserve">Один заявитель вправе подать только одну заявку на участие в аукционе. </w:t>
            </w:r>
          </w:p>
        </w:tc>
      </w:tr>
      <w:tr w:rsidR="00E828B1" w14:paraId="6EE7F8E0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C4F04" w14:textId="331193EB" w:rsidR="00E828B1" w:rsidRDefault="009F20AC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E23C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0E78A" w14:textId="2D289698" w:rsidR="00E828B1" w:rsidRPr="009F20AC" w:rsidRDefault="009F20AC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00C" w14:textId="3543C54C" w:rsidR="00E828B1" w:rsidRPr="00776393" w:rsidRDefault="00EF3F76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77E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начала приема заявок: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77E">
              <w:rPr>
                <w:rFonts w:ascii="Times New Roman" w:hAnsi="Times New Roman"/>
                <w:sz w:val="24"/>
                <w:szCs w:val="24"/>
              </w:rPr>
              <w:t>8 марта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 xml:space="preserve"> 2024 года 09:00;</w:t>
            </w:r>
          </w:p>
          <w:p w14:paraId="285BC912" w14:textId="76250D60" w:rsidR="00EF3F76" w:rsidRPr="00776393" w:rsidRDefault="00EF3F76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77E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окончания приема заявок: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77E">
              <w:rPr>
                <w:rFonts w:ascii="Times New Roman" w:hAnsi="Times New Roman"/>
                <w:sz w:val="24"/>
                <w:szCs w:val="24"/>
              </w:rPr>
              <w:t>5 апреля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 xml:space="preserve"> 2024 года </w:t>
            </w:r>
            <w:r w:rsidR="00E36C26">
              <w:rPr>
                <w:rFonts w:ascii="Times New Roman" w:hAnsi="Times New Roman"/>
                <w:sz w:val="24"/>
                <w:szCs w:val="24"/>
              </w:rPr>
              <w:t>23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>:</w:t>
            </w:r>
            <w:r w:rsidR="00E36C26">
              <w:rPr>
                <w:rFonts w:ascii="Times New Roman" w:hAnsi="Times New Roman"/>
                <w:sz w:val="24"/>
                <w:szCs w:val="24"/>
              </w:rPr>
              <w:t>59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5F590D" w14:textId="74F2D5E1" w:rsidR="00EF3F76" w:rsidRPr="00776393" w:rsidRDefault="00EF3F76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Прием заявок осуществляется электронной площадкой ООО «РТС-тендер» круглосуточно.</w:t>
            </w:r>
          </w:p>
        </w:tc>
      </w:tr>
      <w:tr w:rsidR="00E828B1" w14:paraId="45C3252E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9CC5D" w14:textId="545C3B07" w:rsidR="00E828B1" w:rsidRPr="00FB757B" w:rsidRDefault="00FB757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38935" w14:textId="726FB186" w:rsidR="00E828B1" w:rsidRPr="00FB757B" w:rsidRDefault="00FB757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9C62" w14:textId="2A84FCA4" w:rsidR="00E828B1" w:rsidRPr="00776393" w:rsidRDefault="0012677E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апреля</w:t>
            </w:r>
            <w:r w:rsidR="00FB757B" w:rsidRPr="00776393">
              <w:rPr>
                <w:rFonts w:ascii="Times New Roman" w:hAnsi="Times New Roman"/>
                <w:sz w:val="24"/>
                <w:szCs w:val="24"/>
              </w:rPr>
              <w:t xml:space="preserve"> 2024 года.</w:t>
            </w:r>
          </w:p>
        </w:tc>
      </w:tr>
      <w:tr w:rsidR="00FB757B" w14:paraId="28C355C1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9EDB8" w14:textId="147E0303" w:rsidR="00FB757B" w:rsidRPr="00FB757B" w:rsidRDefault="00FB757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1743A" w14:textId="72687506" w:rsidR="00FB757B" w:rsidRPr="00FB757B" w:rsidRDefault="00FB757B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A61" w14:textId="3F937369" w:rsidR="00FB757B" w:rsidRPr="00776393" w:rsidRDefault="004B5D6D" w:rsidP="00E36C26">
            <w:pPr>
              <w:suppressAutoHyphens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 апреля 2024 года в 11:00</w:t>
            </w:r>
            <w:r w:rsidR="00FB757B" w:rsidRPr="0077639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B757B" w:rsidRPr="007763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электронной площадке ООО «РТС-тендер» по адресу: </w:t>
            </w:r>
            <w:r w:rsidR="00FB757B" w:rsidRPr="0077639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www.rts-tender.ru.</w:t>
            </w:r>
          </w:p>
        </w:tc>
      </w:tr>
      <w:tr w:rsidR="00FB757B" w14:paraId="5AC46881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F6259" w14:textId="17403C9A" w:rsidR="00FB757B" w:rsidRPr="00FB757B" w:rsidRDefault="002E2F5E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CC2AD" w14:textId="3605B4EC" w:rsidR="00FB757B" w:rsidRPr="00FB757B" w:rsidRDefault="002E2F5E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Дата 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897" w14:textId="58D01774" w:rsidR="00FB757B" w:rsidRPr="00776393" w:rsidRDefault="004B5D6D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2024 года</w:t>
            </w:r>
          </w:p>
        </w:tc>
      </w:tr>
      <w:tr w:rsidR="00FB757B" w14:paraId="661EA677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925D6" w14:textId="1A6A5C6C" w:rsidR="00FB757B" w:rsidRPr="00FB757B" w:rsidRDefault="002E2F5E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D5084" w14:textId="1A9CCA83" w:rsidR="00FB757B" w:rsidRPr="00FB757B" w:rsidRDefault="002E2F5E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Срок заключения договора 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206" w14:textId="77777777" w:rsidR="00FB757B" w:rsidRPr="00776393" w:rsidRDefault="002E2F5E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Не ранее чем через десять дней со дня 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4" w:history="1">
              <w:r w:rsidRPr="00776393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7639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1A6C6A0" w14:textId="3DB24FC2" w:rsidR="00A5475D" w:rsidRPr="00776393" w:rsidRDefault="00A5475D" w:rsidP="00E36C26">
            <w:pPr>
              <w:pStyle w:val="af1"/>
              <w:keepNext/>
              <w:keepLines/>
              <w:spacing w:after="0"/>
              <w:ind w:right="99"/>
              <w:contextualSpacing/>
              <w:jc w:val="both"/>
              <w:rPr>
                <w:bCs/>
                <w:lang w:val="ru-RU"/>
              </w:rPr>
            </w:pPr>
            <w:r w:rsidRPr="00776393">
              <w:rPr>
                <w:bCs/>
                <w:lang w:val="ru-RU"/>
              </w:rPr>
      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</w:tc>
      </w:tr>
      <w:tr w:rsidR="00E828B1" w:rsidRPr="00DF6684" w14:paraId="413092CF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AD05" w14:textId="473F07A5" w:rsidR="00E828B1" w:rsidRPr="0081584F" w:rsidRDefault="0081584F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63DC9" w14:textId="48BE4C27" w:rsidR="00E828B1" w:rsidRPr="0081584F" w:rsidRDefault="0081584F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D52" w14:textId="738201B4" w:rsidR="00E828B1" w:rsidRPr="00776393" w:rsidRDefault="0081584F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документацией и регламентом электронной торговой площадки.</w:t>
            </w:r>
          </w:p>
        </w:tc>
      </w:tr>
      <w:tr w:rsidR="00E828B1" w14:paraId="126D2ED7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9F076" w14:textId="2C6DBBCC" w:rsidR="00E828B1" w:rsidRPr="002228BF" w:rsidRDefault="002228BF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CD7E0" w14:textId="4D9C9B8B" w:rsidR="00E828B1" w:rsidRPr="002228BF" w:rsidRDefault="002228BF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Проект договора аренды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3EB" w14:textId="18C7E0B9" w:rsidR="00E828B1" w:rsidRPr="00776393" w:rsidRDefault="002228BF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№2 к </w:t>
            </w:r>
            <w:r w:rsidR="00EA7311">
              <w:rPr>
                <w:rFonts w:ascii="Times New Roman" w:hAnsi="Times New Roman"/>
                <w:sz w:val="24"/>
                <w:szCs w:val="24"/>
              </w:rPr>
              <w:t>настоящему Извещению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28B1" w14:paraId="016398B0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AECB8" w14:textId="226CDC38" w:rsidR="00E828B1" w:rsidRDefault="002228BF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ABA50" w14:textId="3F9247DC" w:rsidR="00E828B1" w:rsidRPr="002228BF" w:rsidRDefault="002228BF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2E4" w14:textId="202EBAB1" w:rsidR="002228BF" w:rsidRPr="00776393" w:rsidRDefault="002228BF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776393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4472C104" w14:textId="3CA6F481" w:rsidR="00E828B1" w:rsidRPr="00776393" w:rsidRDefault="002228BF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 xml:space="preserve">Извещение об отказе в проведении аукциона размещается на официальном сайте РФ в информационно-телекоммуникационной сети «Интернет» https://torgi.gov.ru/new/public </w:t>
            </w:r>
            <w:r w:rsidRPr="00776393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организатором аукциона в течение трех дней со дня принятия данного решения.</w:t>
            </w:r>
          </w:p>
        </w:tc>
      </w:tr>
      <w:tr w:rsidR="00E828B1" w14:paraId="10263015" w14:textId="77777777" w:rsidTr="0011228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CDA85" w14:textId="656B672A" w:rsidR="00E828B1" w:rsidRDefault="009E41C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5506E" w14:textId="1A082B78" w:rsidR="00E828B1" w:rsidRPr="009E41C4" w:rsidRDefault="009E41C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575" w14:textId="1DA5E2F7" w:rsidR="00E828B1" w:rsidRPr="00776393" w:rsidRDefault="009E41C4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Наименование получателя платежа: УФК по Калининградской области (МУНИЦИПАЛЬНОЕ УЧРЕЖДЕНИЕ «УЧЕТНО ФИНАНСОВЫЙ ЦЕНТР СВЕТЛОГОРСКОГО ГОРОДСКОГО ОКРУГА», л/с 004353022820), ИНН/КПП 3912011615/391201001, БИК 012748051, Наименование банка: ОТДЕЛЕНИЕ КАЛИНИНГРАД БАНКА РОССИИ/УФК по Калининградской области г. Калининград, ОКТМО 27734000, ОКПО 94021155, Расчетный счет № 03100643000000013500 Единый казначейский счет, Лицевой счет в УФК 04353022820, № 40102810545370000028, ОКТМО 27701000, КБК 37011105024040000120 аренда земли.</w:t>
            </w:r>
          </w:p>
        </w:tc>
      </w:tr>
      <w:tr w:rsidR="00E828B1" w14:paraId="515069E1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3EC4" w14:textId="0F04E85B" w:rsidR="00E828B1" w:rsidRDefault="009E41C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F62A8" w14:textId="2C1D3C05" w:rsidR="00E828B1" w:rsidRPr="009E41C4" w:rsidRDefault="00E828B1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Существенные условия договора аренды: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A09" w14:textId="2183DBB6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 xml:space="preserve">Срок аренды: 20 лет. </w:t>
            </w:r>
          </w:p>
          <w:p w14:paraId="23F542F7" w14:textId="003A48C1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 xml:space="preserve">По результатам электронного аукциона на право заключения договора аренды земельного участка определяется ежегодный размер арендной платы. </w:t>
            </w:r>
          </w:p>
          <w:p w14:paraId="1316D5C6" w14:textId="4E0C4162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с момента подписания договора аренды земельного участка.</w:t>
            </w:r>
          </w:p>
          <w:p w14:paraId="6E13D0D0" w14:textId="77777777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Во второй и последующие годы сумма арендной платы, сложившейся по результатам аукциона, вносится Арендатором:</w:t>
            </w:r>
          </w:p>
          <w:p w14:paraId="093EAB22" w14:textId="77777777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- физическими лицами: за полугодия, не позднее 10-го июня отчетного года за первое полугодие, не позднее 10-го октября отчетного года за второе полугодие.</w:t>
            </w:r>
          </w:p>
          <w:p w14:paraId="4437FCA9" w14:textId="3102058C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-юридическими лицами, индивидуальным предпринимателями: поквартально, с внесением арендной платы не позднее 10-го числа месяца, следующего за отчетным кварталом, за 4-й квартал - не позднее 10 декабря текущего года.</w:t>
            </w:r>
          </w:p>
          <w:p w14:paraId="32E4B9E9" w14:textId="32108A33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Победитель электронного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0BBCE34F" w14:textId="753ED50A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 xml:space="preserve">Победитель электронного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686901FF" w14:textId="0A6FE35A" w:rsidR="009E41C4" w:rsidRPr="00776393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  <w:p w14:paraId="6B14537E" w14:textId="77777777" w:rsidR="00E828B1" w:rsidRDefault="009E41C4" w:rsidP="00E36C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sz w:val="24"/>
                <w:szCs w:val="24"/>
              </w:rPr>
              <w:t>По истечению срока действия договора аренды земельного участка, победитель аукциона или единственный принявший участие в аукционе его участник (Арендатор) не имеет преимущественного права на заключение на новый срок договора аренды такого земельного участка без проведения торгов.</w:t>
            </w:r>
          </w:p>
          <w:p w14:paraId="74D8CDA1" w14:textId="18E712F0" w:rsidR="00586624" w:rsidRPr="00586624" w:rsidRDefault="00586624" w:rsidP="005866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60454353"/>
            <w:r w:rsidRPr="00586624">
              <w:rPr>
                <w:rFonts w:ascii="Times New Roman" w:hAnsi="Times New Roman"/>
                <w:sz w:val="24"/>
                <w:szCs w:val="24"/>
              </w:rPr>
              <w:t>Победитель электронного аукциона (арендатор) берет на себя обязательство по сносу незаконно возведенных строений на земельном участке, переданном ему в аренду по результатам аукциона.</w:t>
            </w:r>
          </w:p>
          <w:p w14:paraId="445D7B4F" w14:textId="003FC297" w:rsidR="00586624" w:rsidRPr="00776393" w:rsidRDefault="00586624" w:rsidP="005866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624">
              <w:rPr>
                <w:rFonts w:ascii="Times New Roman" w:hAnsi="Times New Roman"/>
                <w:sz w:val="24"/>
                <w:szCs w:val="24"/>
              </w:rPr>
              <w:t>Победитель аукциона (арендатор) ознакомлен с фактическим состоянием земельного участка и не имеет претензий к организатору электронного аукциона (арендодателю).</w:t>
            </w:r>
            <w:bookmarkEnd w:id="2"/>
          </w:p>
        </w:tc>
      </w:tr>
      <w:tr w:rsidR="00A5475D" w14:paraId="35442547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A35F1" w14:textId="5DD87F26" w:rsidR="00A5475D" w:rsidRDefault="00A5475D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B0F6" w14:textId="53F5F9FC" w:rsidR="00A5475D" w:rsidRPr="00A5475D" w:rsidRDefault="00A5475D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A5475D">
              <w:rPr>
                <w:rFonts w:ascii="Times New Roman" w:hAnsi="Times New Roman"/>
                <w:bCs/>
              </w:rPr>
              <w:t>Размер взимаемой платы оператор</w:t>
            </w:r>
            <w:r w:rsidR="00EA7311">
              <w:rPr>
                <w:rFonts w:ascii="Times New Roman" w:hAnsi="Times New Roman"/>
                <w:bCs/>
              </w:rPr>
              <w:t>ом</w:t>
            </w:r>
            <w:r w:rsidRPr="00A5475D">
              <w:rPr>
                <w:rFonts w:ascii="Times New Roman" w:hAnsi="Times New Roman"/>
                <w:bCs/>
              </w:rPr>
              <w:t xml:space="preserve"> электронной площадки за участие в электронном аукционе с победителя электронного аукциона или иных лиц, с которыми в соответствии с пунктами 13, 14, 20 и 25 статьи 39.12 ЗК РФ заключается договор аренды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8722" w14:textId="524199D2" w:rsidR="00A5475D" w:rsidRPr="00776393" w:rsidRDefault="00A5475D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регламентом работы электронной площадки ООО «РТС-тендер»: www.rts-tender.ru.</w:t>
            </w:r>
          </w:p>
        </w:tc>
      </w:tr>
      <w:tr w:rsidR="00A5475D" w14:paraId="3ABAE5D2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78866" w14:textId="3DD89851" w:rsidR="00A5475D" w:rsidRPr="00A5475D" w:rsidRDefault="00A5475D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6ED70" w14:textId="2446F0D1" w:rsidR="00A5475D" w:rsidRDefault="00A5475D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098" w14:textId="5731F77F" w:rsidR="00A5475D" w:rsidRPr="00776393" w:rsidRDefault="00A5475D" w:rsidP="00E36C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аренды </w:t>
            </w:r>
            <w:r w:rsidRPr="007763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63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A5475D" w14:paraId="7CCDAA7A" w14:textId="77777777" w:rsidTr="00112284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11FB1" w14:textId="6B4DEA37" w:rsidR="00A5475D" w:rsidRPr="00461F92" w:rsidRDefault="00461F92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F7185" w14:textId="5E29D1AB" w:rsidR="00A5475D" w:rsidRPr="00461F92" w:rsidRDefault="00461F92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с условиями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9BEE" w14:textId="42A14718" w:rsidR="00461F92" w:rsidRPr="00776393" w:rsidRDefault="00461F92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аренды,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>, 77 А, кабинет № 12, контактный телефон 8-(40153)333-07. Адрес эл. почты: s.yakusheva@svetlogorsk39.ru.</w:t>
            </w:r>
          </w:p>
          <w:p w14:paraId="2540C07F" w14:textId="77777777" w:rsidR="00461F92" w:rsidRPr="00776393" w:rsidRDefault="00461F92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55D295C5" w14:textId="6AF66118" w:rsidR="00A5475D" w:rsidRPr="00776393" w:rsidRDefault="00461F92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аренды содержится в </w:t>
            </w:r>
            <w:r w:rsidR="00EA7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приложении № 2 к настоящему Извещению </w:t>
            </w: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размещен на сайте </w:t>
            </w:r>
            <w:hyperlink r:id="rId15" w:history="1">
              <w:r w:rsidRPr="00776393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77639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776393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776393">
                <w:rPr>
                  <w:rStyle w:val="a6"/>
                  <w:sz w:val="24"/>
                  <w:szCs w:val="24"/>
                </w:rPr>
                <w:t>.</w:t>
              </w:r>
              <w:r w:rsidRPr="00776393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77639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776393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E82D90C" w14:textId="46F90B10" w:rsidR="00461F92" w:rsidRPr="00776393" w:rsidRDefault="004A44D5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</w:t>
            </w: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установленными в Извещении (даты и время приема заявок).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электронной площадке ООО «РТС-тендер» направляет запрос на осмотр земельного участка. 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электронной площадке ООО «РТС-тендер». </w:t>
            </w:r>
            <w:bookmarkStart w:id="3" w:name="_Hlk156314266"/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>Осмотр земельного участка может быть проведен любым заинтересованным лицом самостоятельно.</w:t>
            </w:r>
            <w:bookmarkEnd w:id="3"/>
          </w:p>
        </w:tc>
      </w:tr>
      <w:tr w:rsidR="00A5475D" w14:paraId="43DC2C56" w14:textId="77777777" w:rsidTr="001122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A7E5C" w14:textId="0D2E822A" w:rsidR="00A5475D" w:rsidRPr="00112284" w:rsidRDefault="0011228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1F3BE" w14:textId="63E6994A" w:rsidR="00A5475D" w:rsidRPr="00112284" w:rsidRDefault="00112284" w:rsidP="001122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67C" w14:textId="399C6A97" w:rsidR="00112284" w:rsidRPr="00776393" w:rsidRDefault="00795727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</w:t>
            </w:r>
            <w:r w:rsidR="00112284"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 (бланк) заявки на участие в аукционе;</w:t>
            </w:r>
          </w:p>
          <w:p w14:paraId="75D98221" w14:textId="0C2F98D9" w:rsidR="00112284" w:rsidRPr="00776393" w:rsidRDefault="0011228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5727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договора аренды земельного участка;</w:t>
            </w:r>
          </w:p>
          <w:p w14:paraId="0B9743A4" w14:textId="528F0601" w:rsidR="00A5475D" w:rsidRDefault="00112284" w:rsidP="00E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5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776393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ЕГРН на земельный участок</w:t>
            </w:r>
            <w:r w:rsidR="0079572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B22DF45" w14:textId="2CF73119" w:rsidR="00795727" w:rsidRPr="00776393" w:rsidRDefault="00795727" w:rsidP="00E36C26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4)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муниципального образования «Светлогорский городской округ» от</w:t>
            </w:r>
            <w:proofErr w:type="gramStart"/>
            <w:r w:rsidRPr="00776393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9F67BE">
              <w:rPr>
                <w:rFonts w:ascii="Times New Roman" w:hAnsi="Times New Roman"/>
                <w:sz w:val="24"/>
                <w:szCs w:val="24"/>
              </w:rPr>
              <w:t>04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>»</w:t>
            </w:r>
            <w:r w:rsidR="009F67BE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>2024 года №</w:t>
            </w:r>
            <w:r w:rsidR="009F67BE">
              <w:rPr>
                <w:rFonts w:ascii="Times New Roman" w:hAnsi="Times New Roman"/>
                <w:sz w:val="24"/>
                <w:szCs w:val="24"/>
              </w:rPr>
              <w:t xml:space="preserve"> 169</w:t>
            </w:r>
            <w:r w:rsidRPr="007763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bookmarkStart w:id="4" w:name="_Hlk160453913"/>
            <w:r w:rsidRPr="00776393">
              <w:rPr>
                <w:rFonts w:ascii="Times New Roman" w:hAnsi="Times New Roman"/>
                <w:sz w:val="24"/>
                <w:szCs w:val="24"/>
              </w:rPr>
              <w:t xml:space="preserve">О проведении электронного аукциона  на право заключения договора аренды земельного участка с кадастровым номером </w:t>
            </w:r>
            <w:r w:rsidR="00814FE9" w:rsidRPr="00814FE9">
              <w:rPr>
                <w:rFonts w:ascii="Times New Roman" w:hAnsi="Times New Roman"/>
                <w:sz w:val="24"/>
                <w:szCs w:val="24"/>
              </w:rPr>
              <w:t>39:17:020019:2</w:t>
            </w:r>
            <w:bookmarkEnd w:id="4"/>
            <w:r w:rsidRPr="00776393">
              <w:rPr>
                <w:rFonts w:ascii="Times New Roman" w:hAnsi="Times New Roman"/>
                <w:sz w:val="24"/>
                <w:szCs w:val="24"/>
              </w:rPr>
              <w:t>» (с аукционной документацией)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9A3D89" w14:textId="77777777" w:rsidR="002A2264" w:rsidRDefault="002A2264" w:rsidP="00E40216">
      <w:pPr>
        <w:rPr>
          <w:szCs w:val="28"/>
        </w:rPr>
      </w:pPr>
    </w:p>
    <w:sectPr w:rsidR="002A2264" w:rsidSect="0022335F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F760" w14:textId="77777777" w:rsidR="0022335F" w:rsidRDefault="0022335F" w:rsidP="004254C5">
      <w:pPr>
        <w:spacing w:after="0" w:line="240" w:lineRule="auto"/>
      </w:pPr>
      <w:r>
        <w:separator/>
      </w:r>
    </w:p>
  </w:endnote>
  <w:endnote w:type="continuationSeparator" w:id="0">
    <w:p w14:paraId="710BCD87" w14:textId="77777777" w:rsidR="0022335F" w:rsidRDefault="0022335F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A84A" w14:textId="77777777" w:rsidR="0022335F" w:rsidRDefault="0022335F" w:rsidP="004254C5">
      <w:pPr>
        <w:spacing w:after="0" w:line="240" w:lineRule="auto"/>
      </w:pPr>
      <w:r>
        <w:separator/>
      </w:r>
    </w:p>
  </w:footnote>
  <w:footnote w:type="continuationSeparator" w:id="0">
    <w:p w14:paraId="769A3108" w14:textId="77777777" w:rsidR="0022335F" w:rsidRDefault="0022335F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FE"/>
    <w:rsid w:val="000010E0"/>
    <w:rsid w:val="00004D4C"/>
    <w:rsid w:val="0001530A"/>
    <w:rsid w:val="0003240A"/>
    <w:rsid w:val="00035894"/>
    <w:rsid w:val="00040BDA"/>
    <w:rsid w:val="00042326"/>
    <w:rsid w:val="0004701B"/>
    <w:rsid w:val="00050536"/>
    <w:rsid w:val="00051EF1"/>
    <w:rsid w:val="00053A09"/>
    <w:rsid w:val="00064589"/>
    <w:rsid w:val="00066A36"/>
    <w:rsid w:val="000723B4"/>
    <w:rsid w:val="000B2DBF"/>
    <w:rsid w:val="000B404C"/>
    <w:rsid w:val="000C3A73"/>
    <w:rsid w:val="000C451C"/>
    <w:rsid w:val="000C72DF"/>
    <w:rsid w:val="000D39D7"/>
    <w:rsid w:val="000D4E24"/>
    <w:rsid w:val="000F4AEC"/>
    <w:rsid w:val="00107D6D"/>
    <w:rsid w:val="00112284"/>
    <w:rsid w:val="0011688C"/>
    <w:rsid w:val="0012677E"/>
    <w:rsid w:val="00132A98"/>
    <w:rsid w:val="00137BBF"/>
    <w:rsid w:val="001670B3"/>
    <w:rsid w:val="00170F47"/>
    <w:rsid w:val="001774F4"/>
    <w:rsid w:val="00192550"/>
    <w:rsid w:val="001B5AF2"/>
    <w:rsid w:val="001C2AF4"/>
    <w:rsid w:val="001C5A14"/>
    <w:rsid w:val="001C7473"/>
    <w:rsid w:val="001F4899"/>
    <w:rsid w:val="00204500"/>
    <w:rsid w:val="002135F4"/>
    <w:rsid w:val="002176F8"/>
    <w:rsid w:val="002228BF"/>
    <w:rsid w:val="0022335F"/>
    <w:rsid w:val="0023036D"/>
    <w:rsid w:val="00230AB6"/>
    <w:rsid w:val="002446A6"/>
    <w:rsid w:val="00245984"/>
    <w:rsid w:val="00247279"/>
    <w:rsid w:val="0024754B"/>
    <w:rsid w:val="0025548C"/>
    <w:rsid w:val="00267F47"/>
    <w:rsid w:val="002719C6"/>
    <w:rsid w:val="00286AB9"/>
    <w:rsid w:val="00293CF9"/>
    <w:rsid w:val="002A1A4F"/>
    <w:rsid w:val="002A2264"/>
    <w:rsid w:val="002B4F3B"/>
    <w:rsid w:val="002C1A0E"/>
    <w:rsid w:val="002C3EAE"/>
    <w:rsid w:val="002D0AA5"/>
    <w:rsid w:val="002D2C8E"/>
    <w:rsid w:val="002D4115"/>
    <w:rsid w:val="002E2F5E"/>
    <w:rsid w:val="002E4E9D"/>
    <w:rsid w:val="002F72CB"/>
    <w:rsid w:val="00312A13"/>
    <w:rsid w:val="00331532"/>
    <w:rsid w:val="003320AC"/>
    <w:rsid w:val="00335157"/>
    <w:rsid w:val="0034666A"/>
    <w:rsid w:val="0036110F"/>
    <w:rsid w:val="003A02C9"/>
    <w:rsid w:val="003A07B1"/>
    <w:rsid w:val="003A1BA9"/>
    <w:rsid w:val="003B176B"/>
    <w:rsid w:val="003B4DB5"/>
    <w:rsid w:val="003B7F31"/>
    <w:rsid w:val="003D2EE8"/>
    <w:rsid w:val="003F551C"/>
    <w:rsid w:val="004254C5"/>
    <w:rsid w:val="00461F92"/>
    <w:rsid w:val="004771FC"/>
    <w:rsid w:val="00492864"/>
    <w:rsid w:val="004A29A0"/>
    <w:rsid w:val="004A44D5"/>
    <w:rsid w:val="004A6B07"/>
    <w:rsid w:val="004B5D6D"/>
    <w:rsid w:val="004B794E"/>
    <w:rsid w:val="004C088D"/>
    <w:rsid w:val="004C3FB7"/>
    <w:rsid w:val="004D4614"/>
    <w:rsid w:val="004E33F6"/>
    <w:rsid w:val="004E3C2F"/>
    <w:rsid w:val="00525849"/>
    <w:rsid w:val="0053175B"/>
    <w:rsid w:val="00551DC4"/>
    <w:rsid w:val="00571003"/>
    <w:rsid w:val="00584F4A"/>
    <w:rsid w:val="0058510B"/>
    <w:rsid w:val="00586624"/>
    <w:rsid w:val="00591417"/>
    <w:rsid w:val="00591BB0"/>
    <w:rsid w:val="00595EAA"/>
    <w:rsid w:val="005A75E1"/>
    <w:rsid w:val="005C7DDE"/>
    <w:rsid w:val="005D0074"/>
    <w:rsid w:val="005D60FE"/>
    <w:rsid w:val="005E0879"/>
    <w:rsid w:val="005E44E7"/>
    <w:rsid w:val="00607E24"/>
    <w:rsid w:val="00613A72"/>
    <w:rsid w:val="00615EB8"/>
    <w:rsid w:val="00622D37"/>
    <w:rsid w:val="006247D4"/>
    <w:rsid w:val="006457E6"/>
    <w:rsid w:val="006548FE"/>
    <w:rsid w:val="0066755F"/>
    <w:rsid w:val="0067137E"/>
    <w:rsid w:val="006844B6"/>
    <w:rsid w:val="00684DEE"/>
    <w:rsid w:val="006A5860"/>
    <w:rsid w:val="006C697D"/>
    <w:rsid w:val="006D5843"/>
    <w:rsid w:val="006D5A71"/>
    <w:rsid w:val="006E0D10"/>
    <w:rsid w:val="006E206C"/>
    <w:rsid w:val="006F40A6"/>
    <w:rsid w:val="006F6D08"/>
    <w:rsid w:val="00700C80"/>
    <w:rsid w:val="007044B3"/>
    <w:rsid w:val="00717B29"/>
    <w:rsid w:val="00740AE5"/>
    <w:rsid w:val="007523C3"/>
    <w:rsid w:val="00776393"/>
    <w:rsid w:val="00776C7A"/>
    <w:rsid w:val="00785D8B"/>
    <w:rsid w:val="00795727"/>
    <w:rsid w:val="007A1722"/>
    <w:rsid w:val="007A3B0C"/>
    <w:rsid w:val="007A418D"/>
    <w:rsid w:val="007A580C"/>
    <w:rsid w:val="007B55DB"/>
    <w:rsid w:val="007C38FF"/>
    <w:rsid w:val="007D51E9"/>
    <w:rsid w:val="007E23C9"/>
    <w:rsid w:val="007E6846"/>
    <w:rsid w:val="007E7B2D"/>
    <w:rsid w:val="007F5EC9"/>
    <w:rsid w:val="00814FE9"/>
    <w:rsid w:val="0081584F"/>
    <w:rsid w:val="00821525"/>
    <w:rsid w:val="00833695"/>
    <w:rsid w:val="00834BD3"/>
    <w:rsid w:val="00834DDE"/>
    <w:rsid w:val="00836764"/>
    <w:rsid w:val="00841238"/>
    <w:rsid w:val="00841FFC"/>
    <w:rsid w:val="00851579"/>
    <w:rsid w:val="00873C36"/>
    <w:rsid w:val="0088070D"/>
    <w:rsid w:val="00884EC2"/>
    <w:rsid w:val="0089069B"/>
    <w:rsid w:val="00891318"/>
    <w:rsid w:val="008944CF"/>
    <w:rsid w:val="00895C54"/>
    <w:rsid w:val="008971BD"/>
    <w:rsid w:val="008C37DA"/>
    <w:rsid w:val="008C65FB"/>
    <w:rsid w:val="008F1900"/>
    <w:rsid w:val="008F4530"/>
    <w:rsid w:val="00901C1E"/>
    <w:rsid w:val="0090499D"/>
    <w:rsid w:val="00904B1C"/>
    <w:rsid w:val="00916ABA"/>
    <w:rsid w:val="00923439"/>
    <w:rsid w:val="0096242F"/>
    <w:rsid w:val="00963403"/>
    <w:rsid w:val="009728C7"/>
    <w:rsid w:val="00991B4C"/>
    <w:rsid w:val="009B08A2"/>
    <w:rsid w:val="009B28F9"/>
    <w:rsid w:val="009D1C59"/>
    <w:rsid w:val="009E41C4"/>
    <w:rsid w:val="009F0156"/>
    <w:rsid w:val="009F20AC"/>
    <w:rsid w:val="009F2D4D"/>
    <w:rsid w:val="009F67BE"/>
    <w:rsid w:val="00A11C7A"/>
    <w:rsid w:val="00A14770"/>
    <w:rsid w:val="00A1571C"/>
    <w:rsid w:val="00A226B0"/>
    <w:rsid w:val="00A238BD"/>
    <w:rsid w:val="00A26BC4"/>
    <w:rsid w:val="00A275EB"/>
    <w:rsid w:val="00A343F1"/>
    <w:rsid w:val="00A447F7"/>
    <w:rsid w:val="00A52F77"/>
    <w:rsid w:val="00A5475D"/>
    <w:rsid w:val="00A769F1"/>
    <w:rsid w:val="00A94CE2"/>
    <w:rsid w:val="00AA433C"/>
    <w:rsid w:val="00AA7D19"/>
    <w:rsid w:val="00AB05F8"/>
    <w:rsid w:val="00AB1792"/>
    <w:rsid w:val="00AC0C19"/>
    <w:rsid w:val="00AC7226"/>
    <w:rsid w:val="00AC745A"/>
    <w:rsid w:val="00AE19DB"/>
    <w:rsid w:val="00AE2390"/>
    <w:rsid w:val="00AE7D52"/>
    <w:rsid w:val="00B0140C"/>
    <w:rsid w:val="00B202C5"/>
    <w:rsid w:val="00B20C8F"/>
    <w:rsid w:val="00B24184"/>
    <w:rsid w:val="00B26742"/>
    <w:rsid w:val="00B34D73"/>
    <w:rsid w:val="00B40222"/>
    <w:rsid w:val="00B44E06"/>
    <w:rsid w:val="00B45033"/>
    <w:rsid w:val="00B47DB2"/>
    <w:rsid w:val="00B5003E"/>
    <w:rsid w:val="00B64C40"/>
    <w:rsid w:val="00B772EC"/>
    <w:rsid w:val="00B80945"/>
    <w:rsid w:val="00B9303C"/>
    <w:rsid w:val="00BB1E53"/>
    <w:rsid w:val="00BB4C82"/>
    <w:rsid w:val="00BE3F0B"/>
    <w:rsid w:val="00BE7C94"/>
    <w:rsid w:val="00BF0363"/>
    <w:rsid w:val="00C00341"/>
    <w:rsid w:val="00C152BA"/>
    <w:rsid w:val="00C2043E"/>
    <w:rsid w:val="00C239A6"/>
    <w:rsid w:val="00C413C8"/>
    <w:rsid w:val="00C522B5"/>
    <w:rsid w:val="00C57355"/>
    <w:rsid w:val="00C76CBF"/>
    <w:rsid w:val="00CA6AA6"/>
    <w:rsid w:val="00CA789D"/>
    <w:rsid w:val="00CA79A3"/>
    <w:rsid w:val="00CC2769"/>
    <w:rsid w:val="00CC767D"/>
    <w:rsid w:val="00CE2143"/>
    <w:rsid w:val="00CE5F96"/>
    <w:rsid w:val="00CE6887"/>
    <w:rsid w:val="00CF203F"/>
    <w:rsid w:val="00CF42DC"/>
    <w:rsid w:val="00CF7654"/>
    <w:rsid w:val="00D0662C"/>
    <w:rsid w:val="00D0704A"/>
    <w:rsid w:val="00D10D36"/>
    <w:rsid w:val="00D23ECA"/>
    <w:rsid w:val="00D2498F"/>
    <w:rsid w:val="00D44372"/>
    <w:rsid w:val="00D460C2"/>
    <w:rsid w:val="00D64CC5"/>
    <w:rsid w:val="00D82EF0"/>
    <w:rsid w:val="00D9248B"/>
    <w:rsid w:val="00DB386B"/>
    <w:rsid w:val="00DB4E9D"/>
    <w:rsid w:val="00DB5EFD"/>
    <w:rsid w:val="00DB5FB3"/>
    <w:rsid w:val="00DB68F9"/>
    <w:rsid w:val="00DF5787"/>
    <w:rsid w:val="00DF6684"/>
    <w:rsid w:val="00E21A17"/>
    <w:rsid w:val="00E22374"/>
    <w:rsid w:val="00E36C26"/>
    <w:rsid w:val="00E40216"/>
    <w:rsid w:val="00E55E77"/>
    <w:rsid w:val="00E67DAE"/>
    <w:rsid w:val="00E828B1"/>
    <w:rsid w:val="00E90528"/>
    <w:rsid w:val="00EA7311"/>
    <w:rsid w:val="00EB3A97"/>
    <w:rsid w:val="00EC3D49"/>
    <w:rsid w:val="00EC688A"/>
    <w:rsid w:val="00EC7C78"/>
    <w:rsid w:val="00ED1A2D"/>
    <w:rsid w:val="00EE5476"/>
    <w:rsid w:val="00EF3F76"/>
    <w:rsid w:val="00EF4DF6"/>
    <w:rsid w:val="00EF534D"/>
    <w:rsid w:val="00EF61B3"/>
    <w:rsid w:val="00F02E40"/>
    <w:rsid w:val="00F0581E"/>
    <w:rsid w:val="00F0630D"/>
    <w:rsid w:val="00F142A0"/>
    <w:rsid w:val="00F14DA1"/>
    <w:rsid w:val="00F15EE9"/>
    <w:rsid w:val="00F203F2"/>
    <w:rsid w:val="00F31A91"/>
    <w:rsid w:val="00F50976"/>
    <w:rsid w:val="00F64620"/>
    <w:rsid w:val="00F71460"/>
    <w:rsid w:val="00F74AFB"/>
    <w:rsid w:val="00F812F4"/>
    <w:rsid w:val="00F862B0"/>
    <w:rsid w:val="00FB02B1"/>
    <w:rsid w:val="00FB14D0"/>
    <w:rsid w:val="00FB3138"/>
    <w:rsid w:val="00FB747D"/>
    <w:rsid w:val="00FB757B"/>
    <w:rsid w:val="00FD4CD9"/>
    <w:rsid w:val="00FD6175"/>
    <w:rsid w:val="00FD61E7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03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240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3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240A"/>
    <w:rPr>
      <w:rFonts w:ascii="Calibri" w:eastAsia="Calibri" w:hAnsi="Calibri" w:cs="Times New Roman"/>
    </w:rPr>
  </w:style>
  <w:style w:type="character" w:styleId="af0">
    <w:name w:val="Unresolved Mention"/>
    <w:basedOn w:val="a0"/>
    <w:uiPriority w:val="99"/>
    <w:semiHidden/>
    <w:unhideWhenUsed/>
    <w:rsid w:val="0003240A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2C3E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2C3E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24</cp:revision>
  <cp:lastPrinted>2024-03-04T12:07:00Z</cp:lastPrinted>
  <dcterms:created xsi:type="dcterms:W3CDTF">2024-01-16T14:21:00Z</dcterms:created>
  <dcterms:modified xsi:type="dcterms:W3CDTF">2024-03-05T10:14:00Z</dcterms:modified>
</cp:coreProperties>
</file>