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самовольно возведенных некапитальных строений, </w:t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сооружений</w:t>
      </w:r>
      <w:r>
        <w:rPr>
          <w:rFonts w:ascii="Times New Roman" w:hAnsi="Times New Roman" w:cs="Times New Roman"/>
          <w:sz w:val="28"/>
          <w:szCs w:val="28"/>
        </w:rPr>
        <w:t xml:space="preserve"> выявленных в 2022 году</w:t>
      </w:r>
      <w:r/>
    </w:p>
    <w:p>
      <w:r/>
      <w:r/>
    </w:p>
    <w:tbl>
      <w:tblPr>
        <w:tblStyle w:val="668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268"/>
        <w:gridCol w:w="4252"/>
        <w:gridCol w:w="2410"/>
      </w:tblGrid>
      <w:tr>
        <w:trPr>
          <w:tblHeader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самовольной постройки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самовольной постройки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в котором отражена самовольная постройка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10" w:type="dxa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Ограждающая конструкция (шлагбаум)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Тихая - пер. Сиреневый - ул. Яблоневая.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осмотра от 22.12.2022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2022-12-22T12:10:45Z</dcterms:modified>
</cp:coreProperties>
</file>