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shd w:val="clear" w:color="F8F8F8"/>
        <w:rPr>
          <w:rFonts w:ascii="Times New Roman" w:hAnsi="Times New Roman" w:cs="Times New Roman" w:eastAsia="Times New Roman"/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111111"/>
          <w:sz w:val="28"/>
        </w:rPr>
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tbl>
      <w:tblPr>
        <w:tblStyle w:val="666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4536"/>
        <w:gridCol w:w="6945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№ п 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highlight w:val="none"/>
              </w:rPr>
              <w:t xml:space="preserve">Нормативно правовой акт, содержащий обязательные требования, оценка соблюдения которых является предметом контроля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Содержание структурных единиц нормативного правового акта, содержащие обязательные требования, оценка соблюдения которых  является предметом контроля 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Меры ответственности, применяемые при нарушении обязательных требований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части 1,4, пп. 3 части 5, часть 6 статьи 22 , часть 8 статьи 26 Федерального закона от 08.11.2007 N 257-ФЗ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ч. 1 ст. 22 -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регламентов. Размещение объектов дорожного сервиса в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границах придорожных полос автомобильной дороги должно осуществляться с учетом требований части 8 статьи 26 настоящего Федерального закона;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ч. 4 ст. 22 - В случаях строительства,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 выдается в поря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дке, установленном Градостроительным кодексом Российской Федерации, соответственно федеральным органом исполнительной власти или подведомственным ему федеральным государственным учреждением, органом исполнительной власти субъекта Российской Федерации или 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одведомственным ему государственным учреждением, органом местного самоуправления, уполномоченными на выдачу разрешения на строительство автомобильной дороги, в границах полосы отвода которой планируется осуществить строительство, реконструкцию таких объект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ов. В случае строительства, реконструкции объектов дорожного сервиса, размещаемых в границах полосы отвода частной автомобильной дороги, разрешение на строительство выдается в порядке, установленном Градостроительным кодексом Российской Федерации, органом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местного самоуправления поселения или городского округа, на территориях которых планируется осуществить строительство, реконструкцию таких объектов, либо, если строительство, реконструкцию таких объектов планируется осуществить на межселенной территории, 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рганом местного самоуправления муниципального района;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пп.3 ч. 5 ст. 22 - В случаях строительства, реконструкции объектов дорожного сервиса в границах придорожных полос автомобильной дороги разрешение на строительство выдается в порядке, установленном Градостроительным кодексом Российской Федерации: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органом местного самоуправления городского округа, если строительство, реконструкцию таких объектов планируется осуществлять в границах городского округа.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11111"/>
                <w:sz w:val="24"/>
                <w:highlight w:val="white"/>
              </w:rPr>
              <w:t xml:space="preserve">ч. 6 ст. 22 -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  <w:highlight w:val="white"/>
              </w:rPr>
              <w:t xml:space="preserve">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z w:val="24"/>
                <w:highlight w:val="white"/>
              </w:rPr>
              <w:t xml:space="preserve">ч. 8. ст. 26 -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  <w:highlight w:val="white"/>
              </w:rPr>
              <w:t xml:space="preserve">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  <w:highlight w:val="white"/>
              </w:rPr>
              <w:t xml:space="preserve">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 (далее в настоящей статье - технические требования и условия, подлежащие обязательному исполнению).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ч. 2 ст. 11.21. "Нарушение правил использования полосы отвода и придорожных полос автомобильной дороги Кодекса Российской Федерации об административных правонарушениях: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реконструкция, капитальный ремонт и ремонт примыканий объектов дорожного сервиса к автомобильным дорогам, </w:t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- реконструкция объектов капитального строительства, объектов, предназначенных для осуществления дорожной деятельности, объектов дорожного сервиса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без согласования с владельцем автомобильной дороги -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влечет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пятидесяти тысяч до восьмидесяти тысяч рублей.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2022-01-31T07:13:02Z</dcterms:modified>
</cp:coreProperties>
</file>