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Проект</w:t>
      </w:r>
      <w:r>
        <w:rPr>
          <w:rFonts w:ascii="Times New Roman" w:hAnsi="Times New Roman" w:cs="Times New Roman"/>
          <w:sz w:val="26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КАЛИНИНГРАДСКАЯ ОБЛАСТЬ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ОКРУЖНОЙ СОВЕТ ДЕПУТАТОВ МУНИЦИПАЛЬНОГО ОБРАЗОВАНИЯ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b/>
          <w:sz w:val="26"/>
          <w:szCs w:val="26"/>
        </w:rPr>
        <w:t xml:space="preserve">«СВЕТЛОГОРСКИЙ ГОРОДСКОЙ ОКРУГ»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 2022 года                                                                                                       №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г. Светлогорск</w:t>
      </w:r>
      <w:r>
        <w:rPr>
          <w:rFonts w:ascii="Times New Roman" w:hAnsi="Times New Roman" w:cs="Times New Roman"/>
        </w:rPr>
      </w:r>
      <w:r/>
    </w:p>
    <w:p>
      <w:pPr>
        <w:pStyle w:val="843"/>
        <w:jc w:val="center"/>
        <w:spacing w:lineRule="atLeast" w:line="302" w:after="0" w:afterAutospacing="0" w:before="0" w:beforeAutospacing="0"/>
        <w:shd w:val="clear" w:fill="FFFFFF" w:color="auto"/>
        <w:rPr>
          <w:color w:val="000000"/>
        </w:rPr>
      </w:pPr>
      <w:r>
        <w:rPr>
          <w:b/>
          <w:bCs/>
          <w:color w:val="000000"/>
          <w:sz w:val="28"/>
          <w:szCs w:val="28"/>
        </w:rPr>
      </w:r>
      <w:r>
        <w:rPr>
          <w:color w:val="000000"/>
        </w:rPr>
      </w:r>
      <w:r/>
    </w:p>
    <w:p>
      <w:pPr>
        <w:pStyle w:val="843"/>
        <w:ind w:left="0" w:right="-283" w:firstLine="0"/>
        <w:jc w:val="center"/>
        <w:spacing w:lineRule="atLeast" w:line="302" w:after="0" w:afterAutospacing="0" w:before="0" w:beforeAutospacing="0"/>
        <w:shd w:val="clear" w:fill="FFFFFF" w:color="auto"/>
        <w:rPr>
          <w:rStyle w:val="840"/>
          <w:b/>
          <w:color w:val="000000"/>
          <w:sz w:val="28"/>
          <w:szCs w:val="28"/>
        </w:rPr>
      </w:pPr>
      <w:r>
        <w:rPr>
          <w:rStyle w:val="840"/>
          <w:b/>
          <w:bCs/>
          <w:color w:val="000000"/>
          <w:sz w:val="28"/>
          <w:szCs w:val="28"/>
        </w:rPr>
        <w:t xml:space="preserve">О внесении изменений в Положение о муниципальном лесном контроле </w:t>
      </w:r>
      <w:r/>
    </w:p>
    <w:p>
      <w:pPr>
        <w:pStyle w:val="843"/>
        <w:ind w:left="0" w:right="-283" w:firstLine="0"/>
        <w:jc w:val="center"/>
        <w:spacing w:lineRule="atLeast" w:line="302" w:after="0" w:afterAutospacing="0" w:before="0" w:beforeAutospacing="0"/>
        <w:shd w:val="clear" w:fill="FFFFFF" w:color="auto"/>
        <w:rPr>
          <w:rStyle w:val="840"/>
          <w:b/>
          <w:color w:val="000000"/>
          <w:sz w:val="28"/>
          <w:szCs w:val="28"/>
        </w:rPr>
      </w:pPr>
      <w:r>
        <w:rPr>
          <w:rStyle w:val="840"/>
          <w:b/>
          <w:bCs/>
          <w:color w:val="000000"/>
          <w:sz w:val="28"/>
          <w:szCs w:val="28"/>
        </w:rPr>
        <w:t xml:space="preserve">на территории муниципального образования </w:t>
      </w:r>
      <w:r/>
    </w:p>
    <w:p>
      <w:pPr>
        <w:pStyle w:val="843"/>
        <w:ind w:left="0" w:right="-283" w:firstLine="0"/>
        <w:jc w:val="center"/>
        <w:spacing w:lineRule="atLeast" w:line="302" w:after="0" w:afterAutospacing="0" w:before="0" w:beforeAutospacing="0"/>
        <w:shd w:val="clear" w:fill="FFFFFF" w:color="auto"/>
        <w:rPr>
          <w:color w:val="000000"/>
        </w:rPr>
      </w:pPr>
      <w:r>
        <w:rPr>
          <w:rStyle w:val="840"/>
          <w:b/>
          <w:bCs/>
          <w:color w:val="000000"/>
          <w:sz w:val="28"/>
          <w:szCs w:val="28"/>
        </w:rPr>
        <w:t xml:space="preserve">«Светлогорский городской округ» от 30.08.2021 года № 44</w:t>
      </w:r>
      <w:r>
        <w:rPr>
          <w:rStyle w:val="841"/>
          <w:rFonts w:ascii="Calibri" w:hAnsi="Calibri" w:cs="Calibri"/>
          <w:color w:val="000000"/>
        </w:rPr>
        <w:t xml:space="preserve"> </w:t>
      </w:r>
      <w:r>
        <w:rPr>
          <w:rFonts w:ascii="Calibri" w:hAnsi="Calibri" w:cs="Calibri"/>
          <w:color w:val="000000"/>
        </w:rPr>
      </w:r>
      <w:r/>
    </w:p>
    <w:p>
      <w:pPr>
        <w:pStyle w:val="844"/>
        <w:spacing w:lineRule="atLeast" w:line="254" w:after="0" w:afterAutospacing="0" w:before="0" w:beforeAutospacing="0"/>
        <w:shd w:val="clear" w:fill="FFFFFF" w:color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</w:rPr>
      </w:r>
      <w:r/>
    </w:p>
    <w:p>
      <w:pPr>
        <w:pStyle w:val="845"/>
        <w:ind w:firstLine="709"/>
        <w:jc w:val="both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Style w:val="842"/>
          <w:color w:val="000000"/>
        </w:rPr>
      </w:r>
      <w:r>
        <w:rPr>
          <w:rStyle w:val="842"/>
          <w:color w:val="000000"/>
        </w:rPr>
        <w:t xml:space="preserve">В соответствии с Федеральным законом</w:t>
      </w:r>
      <w:r>
        <w:rPr>
          <w:rStyle w:val="842"/>
          <w:color w:val="000000"/>
        </w:rPr>
        <w:t xml:space="preserve"> от 31.07.2</w:t>
      </w:r>
      <w:r>
        <w:rPr>
          <w:rStyle w:val="842"/>
          <w:color w:val="000000"/>
        </w:rPr>
        <w:t xml:space="preserve">020 № 248-ФЗ «О государственном контроле (надзоре) и муниципальном контроле в Российской Федерации», руководствуясь статьями 16, 35 Федерального закона от 06.10.2003 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статьей 6 Устава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  <w:r>
        <w:rPr>
          <w:color w:val="000000"/>
        </w:rPr>
      </w:r>
      <w:r/>
    </w:p>
    <w:p>
      <w:r/>
      <w:r/>
    </w:p>
    <w:p>
      <w:pPr>
        <w:pStyle w:val="845"/>
        <w:ind w:firstLine="709"/>
        <w:jc w:val="center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Style w:val="840"/>
          <w:b/>
          <w:bCs/>
          <w:color w:val="000000"/>
          <w:sz w:val="28"/>
          <w:szCs w:val="28"/>
        </w:rPr>
        <w:t xml:space="preserve">РЕШИЛ:</w:t>
      </w:r>
      <w:r>
        <w:rPr>
          <w:color w:val="000000"/>
        </w:rPr>
      </w:r>
      <w:r/>
    </w:p>
    <w:p>
      <w:r/>
      <w:r/>
    </w:p>
    <w:p>
      <w:pPr>
        <w:pStyle w:val="838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 6.2.2. Положения о муниципальном лесном контроле на территории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округ» от 30.08.2021 года № 44 дополнив его подпунктом 5 со следующим содержанием: «инструментальное обследование».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38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 6.3.2. Положения о муниципальном лесном контроле на территории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окру» от 30.08.2021 года № 44 дополнив его подпунктом 6 со следующим содержанием: «инструментальное обследование».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38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 6.3.2. Положения о муниципальном лесном контроле на территории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окру» от 30.08.2021 года № 44 дополнив его подпунктом 6 со следующим содержанием: «инструментальное обследование».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/>
    </w:p>
    <w:p>
      <w:pPr>
        <w:pStyle w:val="838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Внести изменения в Положение </w:t>
      </w:r>
      <w:r>
        <w:rPr>
          <w:rFonts w:ascii="Times New Roman" w:hAnsi="Times New Roman" w:cs="Times New Roman" w:eastAsia="Times New Roman"/>
          <w:b/>
          <w:sz w:val="24"/>
        </w:rPr>
        <w:t xml:space="preserve">о муниципальном лесном контроле на территории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окру» от 30.08.2021 года № 44, 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добавив раздел 9 - Ключевые показатели эффективности и результативности муниципального лесного контроля, со следующим содержанием: 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/>
    </w:p>
    <w:p>
      <w:pPr>
        <w:pStyle w:val="838"/>
        <w:numPr>
          <w:ilvl w:val="1"/>
          <w:numId w:val="8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</w:t>
      </w:r>
      <w:r>
        <w:rPr>
          <w:rFonts w:ascii="Times New Roman" w:hAnsi="Times New Roman" w:cs="Times New Roman"/>
          <w:b/>
          <w:sz w:val="24"/>
          <w:szCs w:val="28"/>
        </w:rPr>
        <w:t xml:space="preserve">истем</w:t>
      </w:r>
      <w:r>
        <w:rPr>
          <w:rFonts w:ascii="Times New Roman" w:hAnsi="Times New Roman" w:cs="Times New Roman"/>
          <w:b/>
          <w:sz w:val="24"/>
          <w:szCs w:val="28"/>
        </w:rPr>
        <w:t xml:space="preserve">а</w:t>
      </w:r>
      <w:r>
        <w:rPr>
          <w:rFonts w:ascii="Times New Roman" w:hAnsi="Times New Roman" w:cs="Times New Roman"/>
          <w:b/>
          <w:sz w:val="24"/>
          <w:szCs w:val="28"/>
        </w:rPr>
        <w:t xml:space="preserve"> оценки результативности и эффективности</w:t>
      </w:r>
      <w:r>
        <w:rPr>
          <w:rFonts w:ascii="Times New Roman" w:hAnsi="Times New Roman" w:cs="Times New Roman"/>
          <w:b/>
          <w:sz w:val="24"/>
          <w:szCs w:val="28"/>
        </w:rPr>
        <w:t xml:space="preserve"> деятельности контрольного органа при </w:t>
      </w:r>
      <w:r>
        <w:rPr>
          <w:rFonts w:ascii="Times New Roman" w:hAnsi="Times New Roman" w:cs="Times New Roman"/>
          <w:b/>
          <w:sz w:val="24"/>
          <w:szCs w:val="28"/>
        </w:rPr>
        <w:t xml:space="preserve">осуществлени</w:t>
      </w:r>
      <w:r>
        <w:rPr>
          <w:rFonts w:ascii="Times New Roman" w:hAnsi="Times New Roman" w:cs="Times New Roman"/>
          <w:b/>
          <w:sz w:val="24"/>
          <w:szCs w:val="28"/>
        </w:rPr>
        <w:t xml:space="preserve">и</w:t>
      </w:r>
      <w:r>
        <w:rPr>
          <w:rFonts w:ascii="Times New Roman" w:hAnsi="Times New Roman" w:cs="Times New Roman"/>
          <w:b/>
          <w:sz w:val="24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лесного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контроля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определяется статьей 30 Федерального закона № 248-ФЗ</w:t>
      </w:r>
      <w:r>
        <w:rPr>
          <w:rFonts w:ascii="Times New Roman" w:hAnsi="Times New Roman" w:cs="Times New Roman"/>
          <w:b/>
          <w:sz w:val="24"/>
          <w:szCs w:val="28"/>
        </w:rPr>
        <w:t xml:space="preserve"> на основе ключевых показателей </w:t>
      </w:r>
      <w:r>
        <w:rPr>
          <w:rFonts w:ascii="Times New Roman" w:hAnsi="Times New Roman" w:cs="Times New Roman"/>
          <w:b/>
          <w:sz w:val="24"/>
          <w:szCs w:val="28"/>
        </w:rPr>
        <w:t xml:space="preserve">видов контроля, отражающих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уровень минимизации вреда (ущерба)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охраняемым законом ценностям, уровень </w:t>
      </w:r>
      <w:r>
        <w:rPr>
          <w:rFonts w:ascii="Times New Roman" w:hAnsi="Times New Roman" w:cs="Times New Roman"/>
          <w:b/>
          <w:sz w:val="24"/>
          <w:szCs w:val="28"/>
        </w:rPr>
        <w:t xml:space="preserve">устранения риска причинения вреда (ущерба)</w:t>
      </w:r>
      <w:r>
        <w:rPr>
          <w:rFonts w:ascii="Times New Roman" w:hAnsi="Times New Roman" w:cs="Times New Roman"/>
          <w:b/>
          <w:sz w:val="24"/>
          <w:szCs w:val="28"/>
        </w:rPr>
        <w:t xml:space="preserve"> при осуществлении муниципального контроля, по которым устанавливаются целевые (плановые) значения и достижение которых должен обеспечить соответствующий контрольный орган</w:t>
      </w:r>
      <w:r>
        <w:rPr>
          <w:rFonts w:ascii="Times New Roman" w:hAnsi="Times New Roman" w:cs="Times New Roman"/>
          <w:b/>
          <w:sz w:val="24"/>
          <w:szCs w:val="28"/>
        </w:rPr>
        <w:t xml:space="preserve">.</w:t>
      </w:r>
      <w:r>
        <w:rPr>
          <w:b/>
          <w:sz w:val="24"/>
        </w:rPr>
      </w:r>
      <w:r/>
    </w:p>
    <w:p>
      <w:pPr>
        <w:pStyle w:val="838"/>
        <w:numPr>
          <w:ilvl w:val="1"/>
          <w:numId w:val="8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Ключевыми показателями эффективности и результативности </w:t>
      </w:r>
      <w:r>
        <w:rPr>
          <w:rFonts w:ascii="Times New Roman" w:hAnsi="Times New Roman" w:cs="Times New Roman"/>
          <w:b/>
          <w:sz w:val="24"/>
          <w:szCs w:val="28"/>
        </w:rPr>
        <w:t xml:space="preserve">при </w:t>
      </w:r>
      <w:r>
        <w:rPr>
          <w:rFonts w:ascii="Times New Roman" w:hAnsi="Times New Roman" w:cs="Times New Roman"/>
          <w:b/>
          <w:sz w:val="24"/>
          <w:szCs w:val="28"/>
        </w:rPr>
        <w:t xml:space="preserve">осуществлени</w:t>
      </w:r>
      <w:r>
        <w:rPr>
          <w:rFonts w:ascii="Times New Roman" w:hAnsi="Times New Roman" w:cs="Times New Roman"/>
          <w:b/>
          <w:sz w:val="24"/>
          <w:szCs w:val="28"/>
        </w:rPr>
        <w:t xml:space="preserve">и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муниципального лесного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контроля</w:t>
      </w:r>
      <w:r>
        <w:rPr>
          <w:rFonts w:ascii="Times New Roman" w:hAnsi="Times New Roman" w:cs="Times New Roman"/>
          <w:b/>
          <w:sz w:val="24"/>
          <w:szCs w:val="28"/>
        </w:rPr>
        <w:t xml:space="preserve"> являются: </w:t>
      </w:r>
      <w:r>
        <w:rPr>
          <w:b/>
          <w:sz w:val="24"/>
        </w:rPr>
      </w:r>
      <w:r/>
    </w:p>
    <w:p>
      <w:pPr>
        <w:pStyle w:val="838"/>
        <w:numPr>
          <w:ilvl w:val="0"/>
          <w:numId w:val="7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доля решений, выданных предписаний, а также и</w:t>
      </w:r>
      <w:r>
        <w:rPr>
          <w:rFonts w:ascii="Times New Roman" w:hAnsi="Times New Roman" w:cs="Times New Roman"/>
          <w:b/>
          <w:sz w:val="24"/>
          <w:szCs w:val="28"/>
        </w:rPr>
        <w:t xml:space="preserve">ных ненормативных правовых актов, принятых в отчетном году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 </w:t>
      </w:r>
      <w:r>
        <w:rPr>
          <w:b/>
          <w:sz w:val="24"/>
        </w:rPr>
      </w:r>
      <w:r/>
    </w:p>
    <w:p>
      <w:pPr>
        <w:pStyle w:val="838"/>
        <w:numPr>
          <w:ilvl w:val="0"/>
          <w:numId w:val="7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доля решений, выданных предписаний, а также иных ненормативн</w:t>
      </w:r>
      <w:r>
        <w:rPr>
          <w:rFonts w:ascii="Times New Roman" w:hAnsi="Times New Roman" w:cs="Times New Roman"/>
          <w:b/>
          <w:sz w:val="24"/>
          <w:szCs w:val="28"/>
        </w:rPr>
        <w:t xml:space="preserve">ых правовых актов, принятых в предыдущих отчетных периодах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году. </w:t>
      </w:r>
      <w:r>
        <w:rPr>
          <w:b/>
          <w:sz w:val="24"/>
        </w:rPr>
      </w:r>
      <w:r/>
    </w:p>
    <w:p>
      <w:pPr>
        <w:pStyle w:val="838"/>
        <w:numPr>
          <w:ilvl w:val="1"/>
          <w:numId w:val="8"/>
        </w:numPr>
        <w:ind w:left="0" w:firstLine="851"/>
        <w:jc w:val="both"/>
        <w:spacing w:lineRule="auto" w:line="26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Показатель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ДР1</w:t>
      </w:r>
      <w:r>
        <w:rPr>
          <w:rFonts w:ascii="Times New Roman" w:hAnsi="Times New Roman" w:cs="Times New Roman"/>
          <w:b/>
          <w:sz w:val="24"/>
          <w:szCs w:val="28"/>
        </w:rPr>
        <w:t xml:space="preserve">, предусмотренный подпунктом "а" пункта 9</w:t>
      </w:r>
      <w:r>
        <w:rPr>
          <w:rFonts w:ascii="Times New Roman" w:hAnsi="Times New Roman" w:cs="Times New Roman"/>
          <w:b/>
          <w:sz w:val="24"/>
          <w:szCs w:val="28"/>
        </w:rPr>
        <w:t xml:space="preserve">.2</w:t>
      </w:r>
      <w:r>
        <w:rPr>
          <w:rFonts w:ascii="Times New Roman" w:hAnsi="Times New Roman" w:cs="Times New Roman"/>
          <w:b/>
          <w:sz w:val="24"/>
          <w:szCs w:val="28"/>
        </w:rPr>
        <w:t xml:space="preserve"> настоящего Положения, рассчитывается по формуле:</w:t>
      </w:r>
      <w:r>
        <w:rPr>
          <w:b/>
          <w:sz w:val="24"/>
        </w:rPr>
      </w:r>
      <w:r/>
    </w:p>
    <w:p>
      <w:pPr>
        <w:pStyle w:val="838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=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/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* 100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%, </w:t>
      </w:r>
      <w:r>
        <w:rPr>
          <w:b/>
          <w:sz w:val="24"/>
        </w:rPr>
      </w:r>
      <w:r/>
    </w:p>
    <w:p>
      <w:pPr>
        <w:pStyle w:val="838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где: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количество решений, выданных предписаний, а также</w:t>
      </w:r>
      <w:r>
        <w:rPr>
          <w:rFonts w:ascii="Times New Roman" w:hAnsi="Times New Roman" w:cs="Times New Roman"/>
          <w:b/>
          <w:sz w:val="24"/>
          <w:szCs w:val="28"/>
        </w:rPr>
        <w:t xml:space="preserve"> иных ненормативных правовых актов, принятых в отчетном году по результатам рассмотрения жалоб, проведения контрольных (надзорных) мероприятий, которые отменены частично или полностью на основании судебных актов, вступивших в законную силу в отчетном году;</w:t>
      </w:r>
      <w:r>
        <w:rPr>
          <w:b/>
          <w:sz w:val="24"/>
        </w:rPr>
      </w:r>
      <w:r/>
    </w:p>
    <w:p>
      <w:pPr>
        <w:pStyle w:val="838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общее количество решений, выданных предписаний, а также иных ненормативных правовых актов, принятых в отчетном году по результатам рассмотрения жалоб, проведения контрольных (надзорных) мероприятий.</w:t>
      </w:r>
      <w:r>
        <w:rPr>
          <w:b/>
          <w:sz w:val="24"/>
        </w:rPr>
      </w:r>
      <w:r/>
    </w:p>
    <w:p>
      <w:pPr>
        <w:pStyle w:val="838"/>
        <w:numPr>
          <w:ilvl w:val="1"/>
          <w:numId w:val="8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Показатель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, предусмотренный подпунктом "б" пункта 9</w:t>
      </w:r>
      <w:r>
        <w:rPr>
          <w:rFonts w:ascii="Times New Roman" w:hAnsi="Times New Roman" w:cs="Times New Roman"/>
          <w:b/>
          <w:sz w:val="24"/>
          <w:szCs w:val="28"/>
        </w:rPr>
        <w:t xml:space="preserve">.2</w:t>
      </w:r>
      <w:r>
        <w:rPr>
          <w:rFonts w:ascii="Times New Roman" w:hAnsi="Times New Roman" w:cs="Times New Roman"/>
          <w:b/>
          <w:sz w:val="24"/>
          <w:szCs w:val="28"/>
        </w:rPr>
        <w:t xml:space="preserve"> настоящего Положения, рассчитывается по формуле:</w:t>
      </w:r>
      <w:r>
        <w:rPr>
          <w:b/>
          <w:sz w:val="24"/>
        </w:rPr>
      </w:r>
      <w:r/>
    </w:p>
    <w:p>
      <w:pPr>
        <w:pStyle w:val="838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=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/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* 100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%, </w:t>
      </w:r>
      <w:r>
        <w:rPr>
          <w:b/>
          <w:sz w:val="24"/>
        </w:rPr>
      </w:r>
      <w:r/>
    </w:p>
    <w:p>
      <w:pPr>
        <w:pStyle w:val="838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где: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количество решений, выданных предписаний, а также иных ненормати</w:t>
      </w:r>
      <w:r>
        <w:rPr>
          <w:rFonts w:ascii="Times New Roman" w:hAnsi="Times New Roman" w:cs="Times New Roman"/>
          <w:b/>
          <w:sz w:val="24"/>
          <w:szCs w:val="28"/>
        </w:rPr>
        <w:t xml:space="preserve">вных правовых актов, принятых в предыдущих отчетных периодах по результатам рассмотрения жалоб, проведения контрольных (надзорных) мероприятий, которые отменены частично или полностью на основании судебных актов, вступивших в законную силу в отчетном году;</w:t>
      </w:r>
      <w:r>
        <w:rPr>
          <w:b/>
          <w:sz w:val="24"/>
        </w:rPr>
      </w:r>
      <w:r/>
    </w:p>
    <w:p>
      <w:pPr>
        <w:pStyle w:val="838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общее количество решений, выданных предписаний, а также иных ненормативных правовых актов, принятых в предыдущих отчетных периодах. </w:t>
      </w:r>
      <w:r>
        <w:rPr>
          <w:b/>
          <w:sz w:val="24"/>
        </w:rPr>
      </w:r>
      <w:r/>
    </w:p>
    <w:p>
      <w:pPr>
        <w:pStyle w:val="838"/>
        <w:numPr>
          <w:ilvl w:val="1"/>
          <w:numId w:val="8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Анализ</w:t>
      </w:r>
      <w:r>
        <w:rPr>
          <w:rFonts w:ascii="Times New Roman" w:hAnsi="Times New Roman" w:cs="Times New Roman"/>
          <w:b/>
          <w:sz w:val="24"/>
          <w:szCs w:val="28"/>
        </w:rPr>
        <w:t xml:space="preserve"> достижения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ключевых показателей осуществляется в докладе о виде контроля, подготавливаемом по итогам календарного 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8"/>
        <w:numPr>
          <w:ilvl w:val="0"/>
          <w:numId w:val="1"/>
        </w:numPr>
        <w:ind w:left="0" w:right="0" w:firstLine="850"/>
        <w:jc w:val="both"/>
        <w:spacing w:lineRule="auto" w:line="264" w:after="0"/>
        <w:rPr>
          <w:rFonts w:ascii="Times New Roman" w:hAnsi="Times New Roman" w:cs="Times New Roman"/>
          <w:sz w:val="28"/>
          <w:szCs w:val="28"/>
        </w:rPr>
      </w:pPr>
      <w:r>
        <w:rPr>
          <w:rStyle w:val="846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Контроль за исполнением настоящего Решения возложить на постоянную комиссию окружного Совета депутатов муниципального образования «Светлогорский городско</w:t>
      </w:r>
      <w:r>
        <w:rPr>
          <w:rStyle w:val="846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й округ» по бюджету, экономике и градостроительной деятельности (А.И. Ярошенко).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8"/>
        <w:numPr>
          <w:ilvl w:val="0"/>
          <w:numId w:val="1"/>
        </w:numPr>
        <w:ind w:left="0" w:right="0" w:firstLine="850"/>
        <w:jc w:val="both"/>
        <w:spacing w:lineRule="auto" w:line="264" w:after="0"/>
        <w:rPr>
          <w:rFonts w:ascii="Times New Roman" w:hAnsi="Times New Roman" w:cs="Times New Roman"/>
          <w:sz w:val="28"/>
          <w:szCs w:val="28"/>
        </w:rPr>
      </w:pPr>
      <w:r>
        <w:rPr>
          <w:rStyle w:val="846"/>
          <w:rFonts w:ascii="Times New Roman" w:hAnsi="Times New Roman" w:cs="Times New Roman" w:eastAsia="Times New Roman"/>
          <w:b/>
          <w:bCs/>
          <w:color w:val="000000"/>
          <w:sz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10" w:tooltip="http://www.svetlogorsk39.ru" w:history="1">
        <w:r>
          <w:rPr>
            <w:rStyle w:val="816"/>
            <w:rFonts w:ascii="Times New Roman" w:hAnsi="Times New Roman" w:cs="Times New Roman" w:eastAsia="Calibri"/>
            <w:b/>
            <w:color w:val="auto"/>
            <w:sz w:val="24"/>
            <w:szCs w:val="24"/>
            <w:u w:val="none"/>
          </w:rPr>
          <w:t xml:space="preserve">www.svetlogorsk39.ru</w:t>
        </w:r>
      </w:hyperlink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38"/>
        <w:numPr>
          <w:ilvl w:val="0"/>
          <w:numId w:val="1"/>
        </w:numPr>
        <w:ind w:left="0" w:right="0" w:firstLine="850"/>
        <w:jc w:val="both"/>
        <w:spacing w:lineRule="auto" w:line="264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Решение вступает в силу после его официального опубликования.</w:t>
      </w: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/>
    </w:p>
    <w:p>
      <w:pPr>
        <w:ind w:left="851" w:firstLine="0"/>
        <w:jc w:val="both"/>
        <w:spacing w:lineRule="auto" w:line="276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851" w:firstLine="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851" w:firstLine="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851" w:firstLine="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  <w:r>
        <w:rPr>
          <w:rFonts w:ascii="Times New Roman" w:hAnsi="Times New Roman" w:cs="Times New Roman" w:eastAsia="Times New Roman"/>
          <w:lang w:eastAsia="ar-SA"/>
        </w:rPr>
      </w:r>
      <w:r/>
    </w:p>
    <w:p>
      <w:pPr>
        <w:spacing w:lineRule="auto" w:line="240"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А.В. Мохнов</w:t>
      </w:r>
      <w:r>
        <w:rPr>
          <w:rFonts w:ascii="Times New Roman" w:hAnsi="Times New Roman" w:cs="Times New Roman"/>
          <w:lang w:eastAsia="ar-SA"/>
        </w:rPr>
      </w:r>
      <w:r/>
    </w:p>
    <w:p>
      <w:pPr>
        <w:ind w:left="0" w:right="0" w:firstLine="0"/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/>
    </w:p>
    <w:p>
      <w:pPr>
        <w:ind w:left="851" w:firstLine="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/>
    </w:p>
    <w:p>
      <w:pPr>
        <w:ind w:left="850" w:right="0" w:firstLine="0"/>
        <w:jc w:val="both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  <w:rPr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/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32" w:hanging="720"/>
      </w:pPr>
      <w:rPr>
        <w:rFonts w:hint="default"/>
        <w:b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56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942" w:hanging="720"/>
      </w:pPr>
      <w:rPr>
        <w:rFonts w:hint="default"/>
        <w:b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7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3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5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rFonts w:ascii="Times New Roman" w:hAnsi="Times New Roman" w:cs="Times New Roman" w:eastAsia="Times New Roman"/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9">
    <w:name w:val="Heading 1 Char"/>
    <w:link w:val="658"/>
    <w:uiPriority w:val="9"/>
    <w:rPr>
      <w:rFonts w:ascii="Arial" w:hAnsi="Arial" w:cs="Arial" w:eastAsia="Arial"/>
      <w:sz w:val="40"/>
      <w:szCs w:val="40"/>
    </w:rPr>
  </w:style>
  <w:style w:type="paragraph" w:styleId="660">
    <w:name w:val="Heading 2"/>
    <w:basedOn w:val="834"/>
    <w:next w:val="834"/>
    <w:link w:val="66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1">
    <w:name w:val="Heading 2 Char"/>
    <w:link w:val="660"/>
    <w:uiPriority w:val="9"/>
    <w:rPr>
      <w:rFonts w:ascii="Arial" w:hAnsi="Arial" w:cs="Arial" w:eastAsia="Arial"/>
      <w:sz w:val="34"/>
    </w:rPr>
  </w:style>
  <w:style w:type="paragraph" w:styleId="662">
    <w:name w:val="Heading 3"/>
    <w:basedOn w:val="834"/>
    <w:next w:val="834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3">
    <w:name w:val="Heading 3 Char"/>
    <w:link w:val="662"/>
    <w:uiPriority w:val="9"/>
    <w:rPr>
      <w:rFonts w:ascii="Arial" w:hAnsi="Arial" w:cs="Arial" w:eastAsia="Arial"/>
      <w:sz w:val="30"/>
      <w:szCs w:val="30"/>
    </w:rPr>
  </w:style>
  <w:style w:type="paragraph" w:styleId="664">
    <w:name w:val="Heading 4"/>
    <w:basedOn w:val="834"/>
    <w:next w:val="834"/>
    <w:link w:val="66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5">
    <w:name w:val="Heading 4 Char"/>
    <w:link w:val="664"/>
    <w:uiPriority w:val="9"/>
    <w:rPr>
      <w:rFonts w:ascii="Arial" w:hAnsi="Arial" w:cs="Arial" w:eastAsia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7">
    <w:name w:val="Heading 5 Char"/>
    <w:link w:val="666"/>
    <w:uiPriority w:val="9"/>
    <w:rPr>
      <w:rFonts w:ascii="Arial" w:hAnsi="Arial" w:cs="Arial" w:eastAsia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9">
    <w:name w:val="Heading 6 Char"/>
    <w:link w:val="668"/>
    <w:uiPriority w:val="9"/>
    <w:rPr>
      <w:rFonts w:ascii="Arial" w:hAnsi="Arial" w:cs="Arial" w:eastAsia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1">
    <w:name w:val="Heading 7 Char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3">
    <w:name w:val="Heading 8 Char"/>
    <w:link w:val="672"/>
    <w:uiPriority w:val="9"/>
    <w:rPr>
      <w:rFonts w:ascii="Arial" w:hAnsi="Arial" w:cs="Arial" w:eastAsia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5">
    <w:name w:val="Heading 9 Char"/>
    <w:link w:val="674"/>
    <w:uiPriority w:val="9"/>
    <w:rPr>
      <w:rFonts w:ascii="Arial" w:hAnsi="Arial" w:cs="Arial" w:eastAsia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qFormat/>
    <w:uiPriority w:val="11"/>
    <w:rPr>
      <w:sz w:val="24"/>
      <w:szCs w:val="24"/>
    </w:rPr>
    <w:pPr>
      <w:spacing w:after="200" w:before="200"/>
    </w:p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qFormat/>
    <w:uiPriority w:val="29"/>
    <w:rPr>
      <w:i/>
    </w:rPr>
    <w:pPr>
      <w:ind w:left="720" w:right="720"/>
    </w:p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9">
    <w:name w:val="Grid Table 4 - Accent 1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0">
    <w:name w:val="Grid Table 4 - Accent 2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1">
    <w:name w:val="Grid Table 4 - Accent 3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2">
    <w:name w:val="Grid Table 4 - Accent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3">
    <w:name w:val="Grid Table 4 - Accent 5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4">
    <w:name w:val="Grid Table 4 - Accent 6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5">
    <w:name w:val="Grid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26">
    <w:name w:val="Grid Table 5 Dark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28">
    <w:name w:val="Grid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29">
    <w:name w:val="Grid Table 5 Dark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30">
    <w:name w:val="Grid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31">
    <w:name w:val="Grid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32">
    <w:name w:val="Grid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4">
    <w:name w:val="List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5">
    <w:name w:val="List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6">
    <w:name w:val="List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7">
    <w:name w:val="List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8">
    <w:name w:val="List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9">
    <w:name w:val="List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0">
    <w:name w:val="List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2">
    <w:name w:val="List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3">
    <w:name w:val="List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4">
    <w:name w:val="List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5">
    <w:name w:val="List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6">
    <w:name w:val="List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7">
    <w:name w:val="List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8">
    <w:name w:val="List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6">
    <w:name w:val="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7">
    <w:name w:val="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8">
    <w:name w:val="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9">
    <w:name w:val="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0">
    <w:name w:val="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1">
    <w:name w:val="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2">
    <w:name w:val="Bordered &amp; 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3">
    <w:name w:val="Bordered &amp; 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4">
    <w:name w:val="Bordered &amp; 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5">
    <w:name w:val="Bordered &amp; 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6">
    <w:name w:val="Bordered &amp; 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7">
    <w:name w:val="Bordered &amp; 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8">
    <w:name w:val="Bordered &amp; 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9">
    <w:name w:val="Bordered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0">
    <w:name w:val="Bordered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1">
    <w:name w:val="Bordered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2">
    <w:name w:val="Bordered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3">
    <w:name w:val="Bordered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4">
    <w:name w:val="Bordered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5">
    <w:name w:val="Bordered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rPr>
      <w:sz w:val="18"/>
    </w:rPr>
    <w:pPr>
      <w:spacing w:lineRule="auto" w:line="240" w:after="40"/>
    </w:p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rPr>
      <w:sz w:val="20"/>
    </w:rPr>
    <w:pPr>
      <w:spacing w:lineRule="auto" w:line="240" w:after="0"/>
    </w:p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qFormat/>
    <w:uiPriority w:val="1"/>
    <w:pPr>
      <w:spacing w:lineRule="auto" w:line="240" w:after="0"/>
    </w:pPr>
  </w:style>
  <w:style w:type="paragraph" w:styleId="838">
    <w:name w:val="List Paragraph"/>
    <w:basedOn w:val="834"/>
    <w:qFormat/>
    <w:uiPriority w:val="34"/>
    <w:pPr>
      <w:contextualSpacing w:val="true"/>
      <w:ind w:left="720"/>
    </w:pPr>
  </w:style>
  <w:style w:type="character" w:styleId="839" w:default="1">
    <w:name w:val="Default Paragraph Font"/>
    <w:uiPriority w:val="1"/>
    <w:semiHidden/>
    <w:unhideWhenUsed/>
  </w:style>
  <w:style w:type="character" w:styleId="840" w:customStyle="1">
    <w:name w:val="pt-a1-000004"/>
  </w:style>
  <w:style w:type="character" w:styleId="841" w:customStyle="1">
    <w:name w:val="pt-000006"/>
  </w:style>
  <w:style w:type="character" w:styleId="842" w:customStyle="1">
    <w:name w:val="pt-a1-000007"/>
  </w:style>
  <w:style w:type="paragraph" w:styleId="843" w:customStyle="1">
    <w:name w:val="pt-a-00000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44" w:customStyle="1">
    <w:name w:val="pt-a-000008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45" w:customStyle="1">
    <w:name w:val="pt-a-00000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846" w:customStyle="1">
    <w:name w:val="pt-000013"/>
  </w:style>
  <w:style w:type="character" w:styleId="847" w:customStyle="1">
    <w:name w:val="pt-a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svetlogorsk39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2022-02-03T08:19:08Z</dcterms:modified>
</cp:coreProperties>
</file>