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1D52504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Pr="001949F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D17EF0">
        <w:rPr>
          <w:rFonts w:ascii="Times New Roman" w:hAnsi="Times New Roman"/>
          <w:sz w:val="28"/>
          <w:szCs w:val="28"/>
        </w:rPr>
        <w:t>2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71C28A60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15711028"/>
      <w:r w:rsidRPr="001949F3">
        <w:rPr>
          <w:rFonts w:ascii="Times New Roman" w:hAnsi="Times New Roman"/>
          <w:b/>
          <w:sz w:val="28"/>
          <w:szCs w:val="28"/>
        </w:rPr>
        <w:t>п</w:t>
      </w:r>
      <w:r w:rsidR="006C5453">
        <w:rPr>
          <w:rFonts w:ascii="Times New Roman" w:hAnsi="Times New Roman"/>
          <w:b/>
          <w:sz w:val="28"/>
          <w:szCs w:val="28"/>
        </w:rPr>
        <w:t>ри осуществлении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6C5453">
        <w:rPr>
          <w:rFonts w:ascii="Times New Roman" w:hAnsi="Times New Roman"/>
          <w:b/>
          <w:sz w:val="28"/>
          <w:szCs w:val="28"/>
        </w:rPr>
        <w:t>го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="006C5453" w:rsidRPr="006C5453">
        <w:rPr>
          <w:rFonts w:ascii="Times New Roman" w:hAnsi="Times New Roman"/>
          <w:b/>
          <w:sz w:val="28"/>
          <w:szCs w:val="28"/>
        </w:rPr>
        <w:t xml:space="preserve">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proofErr w:type="gramStart"/>
      <w:r w:rsidR="006C5453" w:rsidRPr="006C5453">
        <w:rPr>
          <w:rFonts w:ascii="Times New Roman" w:hAnsi="Times New Roman"/>
          <w:b/>
          <w:sz w:val="28"/>
          <w:szCs w:val="28"/>
        </w:rPr>
        <w:t>образования  «</w:t>
      </w:r>
      <w:proofErr w:type="gramEnd"/>
      <w:r w:rsidR="006C5453" w:rsidRPr="006C5453">
        <w:rPr>
          <w:rFonts w:ascii="Times New Roman" w:hAnsi="Times New Roman"/>
          <w:b/>
          <w:sz w:val="28"/>
          <w:szCs w:val="28"/>
        </w:rPr>
        <w:t>Светлогорский городской округ»</w:t>
      </w:r>
      <w:r w:rsidR="006C5453"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3B581531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Hlk85469800"/>
      <w:bookmarkStart w:id="4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5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3"/>
      <w:bookmarkEnd w:id="5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6" w:name="_Hlk85470096"/>
      <w:r w:rsidRPr="001949F3">
        <w:rPr>
          <w:rFonts w:ascii="Times New Roman" w:hAnsi="Times New Roman"/>
          <w:sz w:val="28"/>
          <w:szCs w:val="28"/>
        </w:rPr>
        <w:t>статьей 16 Федерального закона от 6 октября 2003 г. № 131-ФЗ « Об общих принципах организации местного самоуправления в Российской Федерации»</w:t>
      </w:r>
      <w:bookmarkEnd w:id="4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bookmarkStart w:id="7" w:name="_Hlk115711977"/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6C5453">
        <w:rPr>
          <w:rFonts w:ascii="Times New Roman" w:hAnsi="Times New Roman"/>
          <w:bCs/>
          <w:sz w:val="28"/>
          <w:szCs w:val="28"/>
        </w:rPr>
        <w:t>7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6C5453" w:rsidRPr="006C5453">
        <w:rPr>
          <w:rFonts w:ascii="Times New Roman" w:hAnsi="Times New Roman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«Светлогорский городской округ»</w:t>
      </w:r>
      <w:bookmarkEnd w:id="7"/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6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01072D1C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proofErr w:type="gramStart"/>
      <w:r w:rsidR="006C5453" w:rsidRPr="006C5453">
        <w:rPr>
          <w:rFonts w:ascii="Times New Roman" w:hAnsi="Times New Roman"/>
          <w:sz w:val="28"/>
          <w:szCs w:val="28"/>
        </w:rPr>
        <w:lastRenderedPageBreak/>
        <w:t>образования  «</w:t>
      </w:r>
      <w:proofErr w:type="gramEnd"/>
      <w:r w:rsidR="006C5453" w:rsidRPr="006C5453">
        <w:rPr>
          <w:rFonts w:ascii="Times New Roman" w:hAnsi="Times New Roman"/>
          <w:sz w:val="28"/>
          <w:szCs w:val="28"/>
        </w:rPr>
        <w:t xml:space="preserve">Светлогорский городской округ» </w:t>
      </w:r>
      <w:r w:rsidR="00C93570" w:rsidRPr="001949F3">
        <w:rPr>
          <w:rFonts w:ascii="Times New Roman" w:hAnsi="Times New Roman"/>
          <w:sz w:val="28"/>
          <w:szCs w:val="28"/>
        </w:rPr>
        <w:t>на 202</w:t>
      </w:r>
      <w:r w:rsidR="00D17EF0">
        <w:rPr>
          <w:rFonts w:ascii="Times New Roman" w:hAnsi="Times New Roman"/>
          <w:sz w:val="28"/>
          <w:szCs w:val="28"/>
        </w:rPr>
        <w:t>3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8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8"/>
    <w:p w14:paraId="129EFB02" w14:textId="098EA2C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6F585319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  <w:r w:rsidR="00BB710C" w:rsidRPr="001949F3">
        <w:rPr>
          <w:rFonts w:ascii="Times New Roman" w:hAnsi="Times New Roman"/>
          <w:sz w:val="28"/>
          <w:szCs w:val="28"/>
        </w:rPr>
        <w:t>В. В. Бондаренко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79E16E59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5DA52DB5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="006C5453">
        <w:rPr>
          <w:rFonts w:ascii="Times New Roman" w:hAnsi="Times New Roman"/>
          <w:b/>
          <w:sz w:val="28"/>
          <w:szCs w:val="28"/>
        </w:rPr>
        <w:t xml:space="preserve"> </w:t>
      </w:r>
      <w:r w:rsidR="006C5453" w:rsidRPr="006C5453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456BACCB" w:rsidR="00941BA6" w:rsidRPr="001949F3" w:rsidRDefault="00941BA6" w:rsidP="006C545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 «Светлогорский городской округ» 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9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6C5453" w:rsidRPr="006C5453">
        <w:rPr>
          <w:rFonts w:ascii="Times New Roman" w:hAnsi="Times New Roman"/>
          <w:sz w:val="28"/>
          <w:szCs w:val="28"/>
        </w:rPr>
        <w:t xml:space="preserve">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 «Светлогорский городской округ» 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9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6C545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6C545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6C545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56B5604A" w14:textId="16E3FC0D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1. Предметом </w:t>
      </w:r>
      <w:bookmarkStart w:id="10" w:name="_Hlk115711542"/>
      <w:r w:rsidRPr="006C5453">
        <w:rPr>
          <w:rFonts w:ascii="Times New Roman" w:hAnsi="Times New Roman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10"/>
      <w:r w:rsidRPr="006C5453">
        <w:rPr>
          <w:rFonts w:ascii="Times New Roman" w:hAnsi="Times New Roman"/>
          <w:sz w:val="28"/>
          <w:szCs w:val="28"/>
        </w:rPr>
        <w:t xml:space="preserve">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</w:t>
      </w:r>
      <w:r w:rsidRPr="006C5453">
        <w:rPr>
          <w:rFonts w:ascii="Times New Roman" w:hAnsi="Times New Roman"/>
          <w:sz w:val="28"/>
          <w:szCs w:val="28"/>
        </w:rPr>
        <w:lastRenderedPageBreak/>
        <w:t>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5453">
        <w:rPr>
          <w:rFonts w:ascii="Times New Roman" w:hAnsi="Times New Roman"/>
          <w:sz w:val="28"/>
          <w:szCs w:val="28"/>
        </w:rPr>
        <w:t xml:space="preserve">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073BE807" w14:textId="38EF3923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Обязательные требования в сфере осуществления муниципального контроля</w:t>
      </w:r>
      <w:r w:rsidRPr="006C5453">
        <w:t xml:space="preserve"> </w:t>
      </w:r>
      <w:r w:rsidRPr="006C5453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>2010 № 190-ФЗ "О теплоснабжении".</w:t>
      </w:r>
    </w:p>
    <w:p w14:paraId="204112A9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3.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 являются:</w:t>
      </w:r>
    </w:p>
    <w:p w14:paraId="7B75A71F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Контролируемого лица по соблюдению обязательных требований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теплоснабжения. </w:t>
      </w:r>
    </w:p>
    <w:p w14:paraId="6B994645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2) результаты деятельности Контролируемого лица по соблюдению обязательных требований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теплоснабжения. </w:t>
      </w:r>
    </w:p>
    <w:p w14:paraId="7229C890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3) объекты теплоснабжения, на которых осуществляются мероприятия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 (далее – производственные объекты).</w:t>
      </w:r>
    </w:p>
    <w:p w14:paraId="4800341F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4.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4ADC742F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5.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округ».</w:t>
      </w:r>
    </w:p>
    <w:p w14:paraId="066210A2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lastRenderedPageBreak/>
        <w:t>6.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7B24DD5B" w14:textId="08CEBCE0" w:rsidR="006C5453" w:rsidRDefault="006C5453" w:rsidP="006C545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Главной задачей администрации муниципального образования «Светлогорский городской округ»</w:t>
      </w:r>
      <w:r w:rsidRPr="006C5453">
        <w:rPr>
          <w:rFonts w:ascii="Times New Roman" w:hAnsi="Times New Roman"/>
          <w:b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A01D74" w:rsidRPr="00A01D74">
        <w:rPr>
          <w:rFonts w:ascii="Times New Roman" w:hAnsi="Times New Roman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C5453">
        <w:rPr>
          <w:rFonts w:ascii="Times New Roman" w:hAnsi="Times New Roman"/>
          <w:sz w:val="28"/>
          <w:szCs w:val="28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6B6105B" w14:textId="2646DA36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A01D74">
        <w:rPr>
          <w:rFonts w:ascii="Times New Roman" w:hAnsi="Times New Roman"/>
          <w:sz w:val="28"/>
          <w:szCs w:val="28"/>
        </w:rPr>
        <w:t>2022 N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>
        <w:rPr>
          <w:rFonts w:ascii="Times New Roman" w:hAnsi="Times New Roman"/>
          <w:sz w:val="28"/>
          <w:szCs w:val="28"/>
        </w:rPr>
        <w:t xml:space="preserve"> </w:t>
      </w:r>
      <w:r w:rsidR="009973DB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D74">
        <w:rPr>
          <w:rFonts w:ascii="Times New Roman" w:hAnsi="Times New Roman"/>
          <w:sz w:val="28"/>
          <w:szCs w:val="28"/>
        </w:rPr>
        <w:t xml:space="preserve">2022 № 215 плановые проверки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отменены. </w:t>
      </w:r>
    </w:p>
    <w:p w14:paraId="619E2EB3" w14:textId="619069F6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2023 году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2023 год формированию не подлежит.</w:t>
      </w:r>
    </w:p>
    <w:p w14:paraId="0C727959" w14:textId="47CFAD0F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 xml:space="preserve">За 9 месяцев 2022 года выполнено </w:t>
      </w:r>
      <w:r>
        <w:rPr>
          <w:rFonts w:ascii="Times New Roman" w:hAnsi="Times New Roman"/>
          <w:sz w:val="28"/>
          <w:szCs w:val="28"/>
        </w:rPr>
        <w:t>5</w:t>
      </w:r>
      <w:r w:rsidRPr="00A01D74">
        <w:rPr>
          <w:rFonts w:ascii="Times New Roman" w:hAnsi="Times New Roman"/>
          <w:sz w:val="28"/>
          <w:szCs w:val="28"/>
        </w:rPr>
        <w:t xml:space="preserve"> профилактических мероприятия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из них:</w:t>
      </w:r>
    </w:p>
    <w:p w14:paraId="1EA60986" w14:textId="72E09F82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- информирование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01D7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A01D74">
        <w:rPr>
          <w:rFonts w:ascii="Times New Roman" w:hAnsi="Times New Roman"/>
          <w:sz w:val="28"/>
          <w:szCs w:val="28"/>
        </w:rPr>
        <w:t>;</w:t>
      </w:r>
    </w:p>
    <w:p w14:paraId="4C96EC76" w14:textId="63582210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 xml:space="preserve">- обобщение правоприменительной практики 1 мероприятие. </w:t>
      </w:r>
    </w:p>
    <w:p w14:paraId="665D2318" w14:textId="54FA3E43" w:rsidR="00A01D74" w:rsidRPr="006C5453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Проведённая администрацией муниципального образования «Светлогорский городской округ» в 2022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04CE957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A07D0E" w14:textId="77777777" w:rsidR="006C5453" w:rsidRPr="006C5453" w:rsidRDefault="006C5453" w:rsidP="006C5453">
      <w:pPr>
        <w:keepNext/>
        <w:overflowPunct w:val="0"/>
        <w:autoSpaceDE w:val="0"/>
        <w:autoSpaceDN w:val="0"/>
        <w:adjustRightInd w:val="0"/>
        <w:spacing w:after="0" w:line="259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sub_1200"/>
      <w:r w:rsidRPr="006C545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</w:t>
      </w:r>
      <w:r w:rsidRPr="006C545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C5453"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реализации Программы</w:t>
      </w:r>
    </w:p>
    <w:p w14:paraId="74EA62BE" w14:textId="77777777" w:rsidR="006C5453" w:rsidRPr="006C5453" w:rsidRDefault="006C5453" w:rsidP="006C5453">
      <w:pPr>
        <w:spacing w:after="0" w:line="259" w:lineRule="auto"/>
        <w:ind w:firstLine="567"/>
        <w:rPr>
          <w:lang w:eastAsia="ru-RU"/>
        </w:rPr>
      </w:pPr>
    </w:p>
    <w:bookmarkEnd w:id="11"/>
    <w:p w14:paraId="5EDAF900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118F5716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теплоснабжения;</w:t>
      </w:r>
    </w:p>
    <w:p w14:paraId="430C918D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охраняемым законом ценностям в отношении единой теплоснабжающей организации вследствие нарушений обязательных требований;</w:t>
      </w:r>
    </w:p>
    <w:p w14:paraId="5438AEA8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D91341B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688B7D0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260095C2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7F7DFC3A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1150"/>
      <w:r w:rsidRPr="006C5453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1F424B96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D5A7F8D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23DC17B2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D85C87A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068CEBB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FCFB0AD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DB9C766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B2352EC" w14:textId="471FB959" w:rsid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1656A3" w14:textId="77777777" w:rsidR="00A01D74" w:rsidRPr="006C5453" w:rsidRDefault="00A01D74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30EA6D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bCs/>
          <w:color w:val="26282F"/>
          <w:sz w:val="28"/>
          <w:szCs w:val="28"/>
          <w:lang w:val="en-US" w:eastAsia="ru-RU"/>
        </w:rPr>
        <w:lastRenderedPageBreak/>
        <w:t>III</w:t>
      </w:r>
      <w:r w:rsidRPr="006C54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6C5453">
        <w:rPr>
          <w:rFonts w:ascii="Times New Roman" w:hAnsi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14:paraId="409DFE09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sz w:val="28"/>
          <w:szCs w:val="28"/>
          <w:lang w:eastAsia="ru-RU"/>
        </w:rPr>
        <w:t>сроки (периодичность) их проведения</w:t>
      </w:r>
    </w:p>
    <w:p w14:paraId="08278015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E694CD0" w14:textId="4E29BB6B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1. В соответствии с Положением о виде муниципального контроля, утвержденном </w:t>
      </w:r>
      <w:r w:rsidR="009973DB" w:rsidRPr="009973DB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 августа 2021 г. № 47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«Светлогорский городской округ»</w:t>
      </w:r>
      <w:r w:rsidRPr="006C5453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0340C211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1) информирование;</w:t>
      </w:r>
    </w:p>
    <w:p w14:paraId="6661C051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14:paraId="4F1BE1D5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3) консультирование;</w:t>
      </w:r>
    </w:p>
    <w:p w14:paraId="7BB38343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4) профилактический визит;</w:t>
      </w:r>
    </w:p>
    <w:p w14:paraId="20BEE989" w14:textId="77777777" w:rsid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5) объявление предостережения.</w:t>
      </w:r>
    </w:p>
    <w:p w14:paraId="02C30AC1" w14:textId="448AED50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F80414B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4655900C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C5453">
        <w:rPr>
          <w:rFonts w:ascii="Times New Roman" w:hAnsi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14:paraId="5B83F6DF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2"/>
    <w:p w14:paraId="70A2B308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CBB3AEF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Количество проведенных профилактических мероприятий;</w:t>
      </w:r>
    </w:p>
    <w:p w14:paraId="25D0B493" w14:textId="7BEDB9E3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Доля профилактических мероприятий в объеме контрольных мероприятий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5453">
        <w:rPr>
          <w:rFonts w:ascii="Times New Roman" w:hAnsi="Times New Roman"/>
          <w:iCs/>
          <w:sz w:val="28"/>
          <w:szCs w:val="28"/>
        </w:rPr>
        <w:t>%.</w:t>
      </w:r>
    </w:p>
    <w:p w14:paraId="52AC2565" w14:textId="77777777" w:rsidR="006C5453" w:rsidRPr="006C5453" w:rsidRDefault="006C5453" w:rsidP="006C5453">
      <w:pPr>
        <w:spacing w:line="259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1238429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14:paraId="3A91E506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14:paraId="0A0BDFA4" w14:textId="3A039F35" w:rsidR="006C5453" w:rsidRPr="006C5453" w:rsidRDefault="006C5453" w:rsidP="006C5453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муниципального образования «Светлогорский городской округ» в состав доклада о муниципальном 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C5453">
        <w:rPr>
          <w:rFonts w:ascii="Times New Roman" w:hAnsi="Times New Roman"/>
          <w:b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округ» в соответствии со статьей 30 </w:t>
      </w:r>
      <w:r w:rsidRPr="006C5453">
        <w:rPr>
          <w:rFonts w:ascii="Times New Roman" w:hAnsi="Times New Roman"/>
          <w:sz w:val="28"/>
          <w:szCs w:val="28"/>
        </w:rPr>
        <w:lastRenderedPageBreak/>
        <w:t>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Федерации». </w:t>
      </w:r>
    </w:p>
    <w:p w14:paraId="0D34D89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1CDAE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B17D4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373956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608D4381" w:rsidR="00152C11" w:rsidRPr="00152C11" w:rsidRDefault="00A01D74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566D49C4" w14:textId="77777777" w:rsidR="00A01D74" w:rsidRPr="00A01D74" w:rsidRDefault="00A01D74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Контролируемого лица, приступающего к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теплоснабжения;</w:t>
            </w:r>
          </w:p>
          <w:p w14:paraId="1EA38C4F" w14:textId="77777777" w:rsidR="00A01D74" w:rsidRDefault="00A01D74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 риска, высокого риска.</w:t>
            </w:r>
          </w:p>
          <w:p w14:paraId="1F24B745" w14:textId="43E40BC0" w:rsidR="009D2CB3" w:rsidRDefault="009D2CB3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уведомление о проведении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A01D74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00CB" w14:textId="77777777" w:rsidR="00614A2B" w:rsidRDefault="00614A2B" w:rsidP="00412566">
      <w:pPr>
        <w:spacing w:after="0" w:line="240" w:lineRule="auto"/>
      </w:pPr>
      <w:r>
        <w:separator/>
      </w:r>
    </w:p>
  </w:endnote>
  <w:endnote w:type="continuationSeparator" w:id="0">
    <w:p w14:paraId="297E317C" w14:textId="77777777" w:rsidR="00614A2B" w:rsidRDefault="00614A2B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E998" w14:textId="77777777" w:rsidR="00614A2B" w:rsidRDefault="00614A2B" w:rsidP="00412566">
      <w:pPr>
        <w:spacing w:after="0" w:line="240" w:lineRule="auto"/>
      </w:pPr>
      <w:r>
        <w:separator/>
      </w:r>
    </w:p>
  </w:footnote>
  <w:footnote w:type="continuationSeparator" w:id="0">
    <w:p w14:paraId="005BB2DB" w14:textId="77777777" w:rsidR="00614A2B" w:rsidRDefault="00614A2B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23AB3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218"/>
    <w:rsid w:val="005F31F0"/>
    <w:rsid w:val="00600D7D"/>
    <w:rsid w:val="006043F8"/>
    <w:rsid w:val="00607B5D"/>
    <w:rsid w:val="00614A2B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C5453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973DB"/>
    <w:rsid w:val="009B1AF7"/>
    <w:rsid w:val="009B3B3E"/>
    <w:rsid w:val="009D2CB3"/>
    <w:rsid w:val="009E211E"/>
    <w:rsid w:val="009F6561"/>
    <w:rsid w:val="00A01D74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E60C3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B4AD4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Александра Шибаева</cp:lastModifiedBy>
  <cp:revision>5</cp:revision>
  <cp:lastPrinted>2021-10-18T13:04:00Z</cp:lastPrinted>
  <dcterms:created xsi:type="dcterms:W3CDTF">2022-10-03T15:42:00Z</dcterms:created>
  <dcterms:modified xsi:type="dcterms:W3CDTF">2022-10-03T15:52:00Z</dcterms:modified>
</cp:coreProperties>
</file>