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8B7" w14:textId="58F2B269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</w:t>
      </w: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ССИЙСКАЯ ФЕДЕРАЦИЯ</w:t>
      </w:r>
      <w:r w:rsidR="00C07FC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</w:t>
      </w:r>
    </w:p>
    <w:p w14:paraId="586DE777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62EF37D6" w:rsidR="005A5811" w:rsidRPr="00156770" w:rsidRDefault="005C60AA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  <w:t>ПРОЕКТ</w:t>
      </w:r>
    </w:p>
    <w:p w14:paraId="6DDDC853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295969B2" w:rsidR="00371909" w:rsidRPr="00156770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от </w:t>
      </w:r>
      <w:proofErr w:type="gramStart"/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«</w:t>
      </w:r>
      <w:r w:rsidR="005C60A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</w:t>
      </w:r>
      <w:proofErr w:type="gramEnd"/>
      <w:r w:rsidR="005C60A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2345E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5C60A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</w:t>
      </w:r>
      <w:r w:rsidR="00391100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C07FC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4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C07FC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года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№</w:t>
      </w:r>
      <w:r w:rsidR="00AE7D1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</w:p>
    <w:p w14:paraId="3244D4F9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55BFB7" w14:textId="4A26228B" w:rsidR="00371909" w:rsidRPr="00156770" w:rsidRDefault="000F1D45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Hlk7550343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r w:rsidR="00C07F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администрации 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образования от 27.12.2023 №1261 «</w:t>
      </w:r>
      <w:r w:rsidRPr="000F1D4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r w:rsidRPr="000F1D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Повышение безопасности дорожного движения</w:t>
      </w:r>
      <w:bookmarkEnd w:id="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» 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1B15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14:paraId="1F9F6989" w14:textId="77777777" w:rsidR="00043C23" w:rsidRPr="00156770" w:rsidRDefault="00043C23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0240B191" w:rsidR="00371909" w:rsidRPr="00156770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06.10.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2003 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7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.06.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2014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.01.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2019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156770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F67C557" w14:textId="6AB9D619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bookmarkStart w:id="1" w:name="_Hlk149573800"/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 Внести изменения в постановление администрации муниципального образования «Светлогорский городской округ» от 27.12.2023 № 12</w:t>
      </w:r>
      <w:r w:rsidR="00837DC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61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«Об утверждении муниципальной программы «</w:t>
      </w:r>
      <w:r w:rsidRPr="00F4665B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Повышение безопасности дорожного движения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1B0A616A" w14:textId="77777777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1.1 В приложении к постановлению раздел «Паспорт Программы» изложить в новой редакции согласно приложению к настоящему постановлению;</w:t>
      </w:r>
    </w:p>
    <w:p w14:paraId="7CAD763F" w14:textId="73076D23" w:rsid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Приложения № 1, 2 к муниципальной программе «Повышение безопасности дорожного движения» изложить в новой редакции согласно приложениям № 1, 2 к настоящему постановлению.</w:t>
      </w:r>
      <w:bookmarkEnd w:id="1"/>
    </w:p>
    <w:p w14:paraId="51C894B4" w14:textId="46073C0C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lastRenderedPageBreak/>
        <w:t>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16FDAAB7" w14:textId="48CD890E" w:rsidR="00F4665B" w:rsidRPr="00F4665B" w:rsidRDefault="00712C50" w:rsidP="00F4665B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ab/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3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</w:t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F4665B" w:rsidRPr="00F4665B">
        <w:rPr>
          <w:rFonts w:ascii="Times New Roman" w:hAnsi="Times New Roman" w:cs="Times New Roman"/>
          <w:b/>
          <w:bCs/>
          <w:color w:val="0D0D0D"/>
          <w:sz w:val="28"/>
          <w:szCs w:val="28"/>
          <w:lang w:eastAsia="ar-SA"/>
        </w:rPr>
        <w:t xml:space="preserve"> </w:t>
      </w:r>
      <w:hyperlink r:id="rId9" w:history="1">
        <w:r w:rsidR="00F4665B" w:rsidRPr="00F4665B">
          <w:rPr>
            <w:rStyle w:val="ae"/>
            <w:rFonts w:ascii="Times New Roman" w:hAnsi="Times New Roman" w:cs="Times New Roman"/>
            <w:bCs/>
            <w:sz w:val="28"/>
            <w:szCs w:val="28"/>
            <w:lang w:eastAsia="ar-SA"/>
          </w:rPr>
          <w:t>svetlogorsk39.ru</w:t>
        </w:r>
      </w:hyperlink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и в местах, доступных для неограниченного круга лиц.</w:t>
      </w:r>
    </w:p>
    <w:p w14:paraId="1C8AE27C" w14:textId="100FAD11" w:rsidR="00F4665B" w:rsidRPr="00F4665B" w:rsidRDefault="00712C50" w:rsidP="00F4665B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ab/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4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 Настоящее постановление вступает в силу после его официального обнародования.</w:t>
      </w:r>
    </w:p>
    <w:p w14:paraId="63F9205C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6A54EE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17A5847" w14:textId="77777777" w:rsidR="001C551A" w:rsidRDefault="001C551A" w:rsidP="00A65D28">
      <w:pPr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EC66D8" w14:textId="7777777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br w:type="page"/>
      </w:r>
    </w:p>
    <w:p w14:paraId="5978C22B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lastRenderedPageBreak/>
        <w:t>Приложение к постановлению</w:t>
      </w:r>
    </w:p>
    <w:p w14:paraId="08BDD799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администрации муниципального</w:t>
      </w:r>
    </w:p>
    <w:p w14:paraId="5DC69880" w14:textId="7604B23D" w:rsidR="00BF623F" w:rsidRPr="00043C23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образования «Светлогорский городской округ»</w:t>
      </w:r>
    </w:p>
    <w:p w14:paraId="26D54104" w14:textId="0EA3B0C0" w:rsidR="003E78AE" w:rsidRPr="00043C23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043C23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043C23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043C23">
        <w:rPr>
          <w:rFonts w:ascii="Times New Roman" w:hAnsi="Times New Roman" w:cs="Times New Roman"/>
          <w:color w:val="0D0D0D" w:themeColor="text1" w:themeTint="F2"/>
        </w:rPr>
        <w:t xml:space="preserve">   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от </w:t>
      </w:r>
      <w:r w:rsidR="00B32281">
        <w:rPr>
          <w:rFonts w:ascii="Times New Roman" w:hAnsi="Times New Roman" w:cs="Times New Roman"/>
          <w:color w:val="0D0D0D" w:themeColor="text1" w:themeTint="F2"/>
        </w:rPr>
        <w:t>«</w:t>
      </w:r>
      <w:r w:rsidR="00655288">
        <w:rPr>
          <w:rFonts w:ascii="Times New Roman" w:hAnsi="Times New Roman" w:cs="Times New Roman"/>
          <w:color w:val="0D0D0D" w:themeColor="text1" w:themeTint="F2"/>
        </w:rPr>
        <w:t>06</w:t>
      </w:r>
      <w:r w:rsidR="00B32281">
        <w:rPr>
          <w:rFonts w:ascii="Times New Roman" w:hAnsi="Times New Roman" w:cs="Times New Roman"/>
          <w:color w:val="0D0D0D" w:themeColor="text1" w:themeTint="F2"/>
        </w:rPr>
        <w:t>»</w:t>
      </w:r>
      <w:r w:rsidR="00655288">
        <w:rPr>
          <w:rFonts w:ascii="Times New Roman" w:hAnsi="Times New Roman" w:cs="Times New Roman"/>
          <w:color w:val="0D0D0D" w:themeColor="text1" w:themeTint="F2"/>
        </w:rPr>
        <w:t xml:space="preserve"> мая </w:t>
      </w:r>
      <w:r w:rsidR="00A950FF">
        <w:rPr>
          <w:rFonts w:ascii="Times New Roman" w:hAnsi="Times New Roman" w:cs="Times New Roman"/>
          <w:color w:val="0D0D0D" w:themeColor="text1" w:themeTint="F2"/>
        </w:rPr>
        <w:t>202</w:t>
      </w:r>
      <w:r w:rsidR="00B32281">
        <w:rPr>
          <w:rFonts w:ascii="Times New Roman" w:hAnsi="Times New Roman" w:cs="Times New Roman"/>
          <w:color w:val="0D0D0D" w:themeColor="text1" w:themeTint="F2"/>
        </w:rPr>
        <w:t>4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43C23">
        <w:rPr>
          <w:rFonts w:ascii="Times New Roman" w:hAnsi="Times New Roman" w:cs="Times New Roman"/>
          <w:color w:val="0D0D0D" w:themeColor="text1" w:themeTint="F2"/>
        </w:rPr>
        <w:t>года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 №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55288">
        <w:rPr>
          <w:rFonts w:ascii="Times New Roman" w:hAnsi="Times New Roman" w:cs="Times New Roman"/>
          <w:color w:val="0D0D0D" w:themeColor="text1" w:themeTint="F2"/>
        </w:rPr>
        <w:t>433</w:t>
      </w:r>
    </w:p>
    <w:p w14:paraId="5E2BFA1D" w14:textId="77777777" w:rsidR="00091C5A" w:rsidRPr="00043C23" w:rsidRDefault="00091C5A" w:rsidP="00B73555">
      <w:pPr>
        <w:rPr>
          <w:rFonts w:ascii="Times New Roman" w:hAnsi="Times New Roman" w:cs="Times New Roman"/>
          <w:b/>
          <w:color w:val="0D0D0D" w:themeColor="text1" w:themeTint="F2"/>
        </w:rPr>
      </w:pPr>
    </w:p>
    <w:p w14:paraId="2F994AA4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Муниципальная программа </w:t>
      </w:r>
    </w:p>
    <w:p w14:paraId="3B58690C" w14:textId="02BC9E03" w:rsidR="00BF623F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2A0696F7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9C2C3B5" w14:textId="77777777" w:rsidR="006101E6" w:rsidRPr="006A54EE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4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69"/>
      </w:tblGrid>
      <w:tr w:rsidR="006A54EE" w:rsidRPr="00043C23" w14:paraId="0AF4B753" w14:textId="77777777" w:rsidTr="00043C23">
        <w:trPr>
          <w:trHeight w:val="548"/>
        </w:trPr>
        <w:tc>
          <w:tcPr>
            <w:tcW w:w="3686" w:type="dxa"/>
          </w:tcPr>
          <w:p w14:paraId="4FDAC222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69" w:type="dxa"/>
          </w:tcPr>
          <w:p w14:paraId="165661DA" w14:textId="77777777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Повышение безопасности дорожного движения</w:t>
            </w:r>
            <w:r w:rsidR="00091C5A"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» </w:t>
            </w:r>
            <w:r w:rsidR="00091C5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(далее - программа)</w:t>
            </w:r>
          </w:p>
        </w:tc>
      </w:tr>
      <w:tr w:rsidR="006A54EE" w:rsidRPr="00043C23" w14:paraId="465640C8" w14:textId="77777777" w:rsidTr="00043C23">
        <w:tc>
          <w:tcPr>
            <w:tcW w:w="3686" w:type="dxa"/>
            <w:vAlign w:val="center"/>
          </w:tcPr>
          <w:p w14:paraId="6929976F" w14:textId="77777777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69" w:type="dxa"/>
          </w:tcPr>
          <w:p w14:paraId="7BA36492" w14:textId="77777777" w:rsidR="006101E6" w:rsidRPr="00043C23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МКУ «Отдел ЖКХ Светлогорского городского округа»</w:t>
            </w:r>
          </w:p>
        </w:tc>
      </w:tr>
      <w:tr w:rsidR="00CF0846" w:rsidRPr="00043C23" w14:paraId="3AAFD58E" w14:textId="77777777" w:rsidTr="00043C23">
        <w:tc>
          <w:tcPr>
            <w:tcW w:w="3686" w:type="dxa"/>
            <w:vAlign w:val="center"/>
          </w:tcPr>
          <w:p w14:paraId="3A9868D5" w14:textId="769C96C5" w:rsidR="00CF084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Соисполнитель</w:t>
            </w:r>
            <w:r w:rsid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03FA76E5" w14:textId="6C89EF48" w:rsidR="00CF0846" w:rsidRPr="00043C23" w:rsidRDefault="00EA0445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Отсутствует</w:t>
            </w:r>
          </w:p>
        </w:tc>
      </w:tr>
      <w:tr w:rsidR="006A54EE" w:rsidRPr="00043C23" w14:paraId="52EF976B" w14:textId="77777777" w:rsidTr="00043C23">
        <w:tc>
          <w:tcPr>
            <w:tcW w:w="3686" w:type="dxa"/>
            <w:vAlign w:val="center"/>
          </w:tcPr>
          <w:p w14:paraId="7600095A" w14:textId="34FCDE2F" w:rsidR="006101E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Участники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716E5D2" w14:textId="2FC696F2" w:rsidR="00CF084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МБУ</w:t>
            </w:r>
            <w:r w:rsidR="00B44272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«Отдел капитального строительства Светлогорского городского округа» </w:t>
            </w:r>
          </w:p>
          <w:p w14:paraId="43BD5EEE" w14:textId="7099960E" w:rsidR="006101E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сторонние организации по результату закупок товаров, работ и услуг </w:t>
            </w:r>
          </w:p>
        </w:tc>
      </w:tr>
      <w:tr w:rsidR="006A54EE" w:rsidRPr="00043C23" w14:paraId="654F5192" w14:textId="77777777" w:rsidTr="00043C23">
        <w:trPr>
          <w:trHeight w:val="349"/>
        </w:trPr>
        <w:tc>
          <w:tcPr>
            <w:tcW w:w="3686" w:type="dxa"/>
          </w:tcPr>
          <w:p w14:paraId="4C90BE3C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9" w:type="dxa"/>
          </w:tcPr>
          <w:p w14:paraId="67DEDFE2" w14:textId="77777777" w:rsidR="00BC7B4A" w:rsidRPr="00043C23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- не предусмотрены</w:t>
            </w:r>
          </w:p>
          <w:p w14:paraId="6C3FC40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A54EE" w:rsidRPr="00043C23" w14:paraId="237F19FE" w14:textId="77777777" w:rsidTr="00043C23">
        <w:trPr>
          <w:trHeight w:val="349"/>
        </w:trPr>
        <w:tc>
          <w:tcPr>
            <w:tcW w:w="3686" w:type="dxa"/>
          </w:tcPr>
          <w:p w14:paraId="2EF94DF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9" w:type="dxa"/>
          </w:tcPr>
          <w:p w14:paraId="2D2FF2B7" w14:textId="2D521E73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926FA3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-202</w:t>
            </w:r>
            <w:r w:rsidR="00525D2B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6A54EE" w:rsidRPr="00043C23" w14:paraId="3A29E0C7" w14:textId="77777777" w:rsidTr="00043C23">
        <w:trPr>
          <w:trHeight w:val="349"/>
        </w:trPr>
        <w:tc>
          <w:tcPr>
            <w:tcW w:w="3686" w:type="dxa"/>
          </w:tcPr>
          <w:p w14:paraId="5E14F200" w14:textId="77777777" w:rsidR="006101E6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Цели муниципальной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программы</w:t>
            </w:r>
          </w:p>
        </w:tc>
        <w:tc>
          <w:tcPr>
            <w:tcW w:w="5769" w:type="dxa"/>
          </w:tcPr>
          <w:p w14:paraId="6494C3D6" w14:textId="2F297A1E" w:rsidR="006101E6" w:rsidRPr="000D25D3" w:rsidRDefault="00D858FD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Развитие системы дорожного движения на дорогах и улицах населенных пунктов.</w:t>
            </w:r>
          </w:p>
        </w:tc>
      </w:tr>
      <w:tr w:rsidR="006A54EE" w:rsidRPr="00043C23" w14:paraId="6E09270C" w14:textId="77777777" w:rsidTr="00043C23">
        <w:trPr>
          <w:trHeight w:val="645"/>
        </w:trPr>
        <w:tc>
          <w:tcPr>
            <w:tcW w:w="3686" w:type="dxa"/>
          </w:tcPr>
          <w:p w14:paraId="73A10BAE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6F3B23A" w14:textId="4E1904B9" w:rsidR="007F5E58" w:rsidRPr="000D25D3" w:rsidRDefault="000065C5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6A54EE" w:rsidRPr="00043C23" w14:paraId="37CFE66B" w14:textId="77777777" w:rsidTr="00043C23">
        <w:trPr>
          <w:trHeight w:val="645"/>
        </w:trPr>
        <w:tc>
          <w:tcPr>
            <w:tcW w:w="3686" w:type="dxa"/>
          </w:tcPr>
          <w:p w14:paraId="702BD83D" w14:textId="77777777" w:rsidR="006101E6" w:rsidRPr="00043C23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евые показатели (индикаторы) 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53993695" w14:textId="590C7F11" w:rsidR="006101E6" w:rsidRPr="000D25D3" w:rsidRDefault="00D858FD" w:rsidP="000065C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Количество улиц, на которых осуществляется ремонт дорожного покрытия, тротуаров, модернизация и ремонт тех. средств будет увеличен до 3</w:t>
            </w:r>
            <w:r w:rsidR="00B454D3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A54EE" w:rsidRPr="00043C23" w14:paraId="376D2097" w14:textId="77777777" w:rsidTr="00043C23">
        <w:trPr>
          <w:trHeight w:val="1310"/>
        </w:trPr>
        <w:tc>
          <w:tcPr>
            <w:tcW w:w="3686" w:type="dxa"/>
          </w:tcPr>
          <w:p w14:paraId="3DC76D1D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нсового обеспечения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28AE29B" w14:textId="7E1E93D9" w:rsidR="00B73555" w:rsidRPr="00043C23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год –</w:t>
            </w:r>
            <w:r w:rsidR="0072792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057B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27 4</w:t>
            </w:r>
            <w:r w:rsidR="005C60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01</w:t>
            </w:r>
            <w:r w:rsidR="00E057B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5C60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</w:t>
            </w:r>
            <w:r w:rsidR="001C551A" w:rsidRPr="001C55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2792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  <w:r w:rsidR="009E0EAC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</w:p>
          <w:p w14:paraId="2861C289" w14:textId="6D050F83" w:rsidR="00B73555" w:rsidRPr="00043C23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2025 год </w:t>
            </w:r>
            <w:r w:rsidR="00D46F38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D5771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="0072792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51FDEFD3" w14:textId="140E2C56" w:rsidR="00525D2B" w:rsidRPr="00043C23" w:rsidRDefault="00525D2B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 – </w:t>
            </w:r>
            <w:r w:rsidR="001D5771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6DB73D92" w14:textId="77777777" w:rsidR="00043C23" w:rsidRDefault="00450A98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</w:p>
          <w:p w14:paraId="65242A06" w14:textId="42461E97" w:rsidR="00450A98" w:rsidRPr="00043C23" w:rsidRDefault="001C551A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C55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="00E057B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057B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C60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64</w:t>
            </w:r>
            <w:r w:rsidRPr="001C55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5C60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04</w:t>
            </w:r>
            <w:r w:rsidRPr="001C55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50A98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5505B2" w:rsidRPr="000D25D3" w14:paraId="3CA10080" w14:textId="77777777" w:rsidTr="00043C23">
        <w:trPr>
          <w:trHeight w:val="699"/>
        </w:trPr>
        <w:tc>
          <w:tcPr>
            <w:tcW w:w="3686" w:type="dxa"/>
          </w:tcPr>
          <w:p w14:paraId="708816B8" w14:textId="77777777" w:rsidR="006101E6" w:rsidRPr="000D25D3" w:rsidRDefault="006101E6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Ожи</w:t>
            </w:r>
            <w:r w:rsidR="003E78AE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даемые результаты реализации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FDC9731" w14:textId="3D05FF63" w:rsidR="006101E6" w:rsidRPr="000D25D3" w:rsidRDefault="000065C5" w:rsidP="000065C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ДТП со смертельным исходом на 10 тыс. населения 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будет составлять </w:t>
            </w:r>
            <w:r w:rsidR="00EA0445" w:rsidRPr="000D2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9D1634" w14:textId="77777777" w:rsidR="006101E6" w:rsidRPr="000D25D3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99123C2" w14:textId="77777777" w:rsidR="00F42D47" w:rsidRPr="000D25D3" w:rsidRDefault="00F42D47" w:rsidP="00B73555"/>
    <w:p w14:paraId="1355473D" w14:textId="77777777" w:rsidR="00D858FD" w:rsidRDefault="00D858FD" w:rsidP="00B73555"/>
    <w:p w14:paraId="2B300788" w14:textId="77777777" w:rsidR="00263144" w:rsidRDefault="00263144" w:rsidP="00B73555"/>
    <w:p w14:paraId="77A3B769" w14:textId="77777777" w:rsidR="00263144" w:rsidRDefault="00263144" w:rsidP="00B73555"/>
    <w:p w14:paraId="0C384431" w14:textId="77777777" w:rsidR="00263144" w:rsidRPr="000D25D3" w:rsidRDefault="00263144" w:rsidP="00B73555"/>
    <w:p w14:paraId="74084A28" w14:textId="7777777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2C449948" w14:textId="7A323AD7" w:rsidR="00926FA3" w:rsidRPr="007B7F03" w:rsidRDefault="00926FA3" w:rsidP="000653A7">
      <w:pPr>
        <w:pStyle w:val="1"/>
        <w:keepNext/>
        <w:widowControl/>
        <w:autoSpaceDE/>
        <w:autoSpaceDN/>
        <w:adjustRightInd/>
        <w:spacing w:before="0" w:after="0"/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1.</w:t>
      </w:r>
      <w:r w:rsidR="00F42D47" w:rsidRP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Характеристика текущего состояния</w:t>
      </w:r>
      <w:r w:rsid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</w:t>
      </w:r>
      <w:r w:rsidR="00F42D47" w:rsidRP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</w:t>
      </w:r>
      <w:r w:rsid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безопасности дорожного движения </w:t>
      </w:r>
    </w:p>
    <w:p w14:paraId="1CBF8370" w14:textId="7CD747A1" w:rsidR="00C37ED5" w:rsidRPr="00EA77CA" w:rsidRDefault="00926FA3" w:rsidP="00C37ED5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На территории МО «Светлогорский городской округ» в настоящее время существует диспропорция между темпами развития дорожно-транспортной сети и темпами роста количества транспортных средств, ухудшение транспортной дисциплины участников дорожного движения, </w:t>
      </w:r>
      <w:r w:rsidR="00741440"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превышение установленной скорости движения, нарушение правил маневрирования, выезд на полосу встречного движения, управление транспортом в состоянии алкогольного опьянения, нарушение ПДД пешеходами,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также недостаточное инженерное оборудование опасных участков, прежде всего пешеходных переходов у детских учреждений и мест массового отдыха. Все это приводит к ухудшению условий движения, и, как следствие, к росту аварийности в муниципальном образовании.</w:t>
      </w:r>
    </w:p>
    <w:p w14:paraId="201BF011" w14:textId="514DE580" w:rsidR="00C37ED5" w:rsidRPr="00EA77CA" w:rsidRDefault="00C37ED5" w:rsidP="00C37ED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данным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ГИБДД авари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(без летального исхода) ежегодно возрастает на 1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%. </w:t>
      </w:r>
    </w:p>
    <w:p w14:paraId="2D236F74" w14:textId="346A4E2C" w:rsidR="00C37ED5" w:rsidRPr="00C37ED5" w:rsidRDefault="00C37ED5" w:rsidP="00C37ED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последние 3 года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данным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ГИБДД,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территории Светлогорского городского округа не было ДТП со смертельным исходом</w:t>
      </w:r>
      <w:r w:rsidR="00EA77CA"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5EC4DF52" w14:textId="4F3833C9" w:rsidR="00926FA3" w:rsidRPr="00EA77CA" w:rsidRDefault="00926FA3" w:rsidP="00926FA3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сокращения числа ДТП, связанных с наездом на пешеходов, необходимо производить строительство, реконструкцию,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световозвращателями</w:t>
      </w:r>
      <w:proofErr w:type="spellEnd"/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индикаторами, а также устройствами дополнительного освещения и другими элементами повышения безопасности дорожного движения. </w:t>
      </w:r>
    </w:p>
    <w:p w14:paraId="5371E058" w14:textId="77777777" w:rsidR="00926FA3" w:rsidRPr="007B7F03" w:rsidRDefault="00926FA3" w:rsidP="00926FA3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Увеличение расходов </w:t>
      </w: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на установку знаков вызвано следующими причинами:</w:t>
      </w:r>
    </w:p>
    <w:p w14:paraId="52B87F63" w14:textId="57CBBB63" w:rsidR="00926FA3" w:rsidRPr="007B7F03" w:rsidRDefault="00926FA3" w:rsidP="00926FA3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- разработка ПОДД</w:t>
      </w:r>
      <w:r w:rsidR="00F42D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</w:t>
      </w:r>
      <w:r w:rsidR="00F42D47" w:rsidRPr="00F42D47">
        <w:rPr>
          <w:rFonts w:ascii="Times New Roman" w:hAnsi="Times New Roman"/>
          <w:color w:val="0D0D0D" w:themeColor="text1" w:themeTint="F2"/>
          <w:sz w:val="28"/>
          <w:szCs w:val="28"/>
        </w:rPr>
        <w:t>комплексн</w:t>
      </w:r>
      <w:r w:rsidR="00F42D47"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 w:rsidR="00F42D47" w:rsidRPr="00F42D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схемы организации дорожного движения</w:t>
      </w:r>
      <w:r w:rsidR="00F42D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поэтапно на Светлогорский городской округ и поэтапное же приведение организации дорожного движения на улицах в нормативное состояние. Большая часть улиц округа не оборудована надлежащим количеством технических средств организации дорожного движения.</w:t>
      </w:r>
    </w:p>
    <w:p w14:paraId="0AFBD6A1" w14:textId="3DE0A566" w:rsidR="00926FA3" w:rsidRDefault="00926FA3" w:rsidP="00926FA3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Разработка комплексной схемы организации дорожного движения предусмотрена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 Этим же законом предусмотрена необходимость проведения мониторинга дорожного движения собственником в отношении автомобильных дорог. </w:t>
      </w:r>
    </w:p>
    <w:p w14:paraId="7BAC4C40" w14:textId="12989796" w:rsidR="00741440" w:rsidRPr="007B7F03" w:rsidRDefault="00741440" w:rsidP="00926FA3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Кроме того, </w:t>
      </w:r>
      <w:r w:rsidR="00C37ED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необходимы </w:t>
      </w: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поэтапные работы по приведению улично-дорожной сети Светлогорского городского округа в соответствие с требованиями ГОСТ: обеспечение замены и установки новых дорожных знаков, нанесение разметки, установка пешеходных ограждений, обрезка бокового интервала, установка иных ТСОДД и производство иных видов работ, предусмотренных при </w:t>
      </w: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содержании автомобильных дорог собственником.</w:t>
      </w:r>
    </w:p>
    <w:p w14:paraId="7A6593E9" w14:textId="77777777" w:rsidR="00926FA3" w:rsidRDefault="00926FA3" w:rsidP="00926FA3">
      <w:pPr>
        <w:pStyle w:val="ConsPlusNormal"/>
        <w:ind w:right="-191"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Наряду с другими факторами значительное влияние на состояние аварийности оказывает состояние дорожно-транспортной сети. Деятельность по данному направлению предусматривает обеспечение безопасных дорожных условий для движения транспорта и пешеходов, а именно обустройство дорог современными техническими средствами организации движения, проведение ямочного ремонта дорог тротуаров.</w:t>
      </w:r>
      <w:r w:rsidRPr="007B7F03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14:paraId="0D36E997" w14:textId="77777777" w:rsidR="000065C5" w:rsidRPr="000065C5" w:rsidRDefault="000065C5" w:rsidP="000065C5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>В связи с изменением комплексной схемы организации дорожного движения Светлогорского городского округа необходимо увеличение количества новых установленных дорожных знаков,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14:paraId="0EABF404" w14:textId="77777777" w:rsidR="000065C5" w:rsidRPr="000065C5" w:rsidRDefault="000065C5" w:rsidP="000065C5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>В целях повышения предупреждения опасного поведения участников дорожного движения, в том числе детей на дорогах, требуется нанесение дорожной разметки не менее 8 км.</w:t>
      </w:r>
    </w:p>
    <w:p w14:paraId="75BCECBB" w14:textId="77777777" w:rsidR="000065C5" w:rsidRPr="000065C5" w:rsidRDefault="000065C5" w:rsidP="000065C5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>Важно отметить, что при достижении поставленной цели и задач уменьшится количество пострадавших и получивших травм в ДТП, повысится качество системы предупреждения опасного поведения участников дорожного движения, повысится безопасность дорожных условий.</w:t>
      </w:r>
    </w:p>
    <w:p w14:paraId="7328A28F" w14:textId="6BD2B35F" w:rsidR="000065C5" w:rsidRPr="000065C5" w:rsidRDefault="000065C5" w:rsidP="000065C5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Кроме того, к числу основных результатов реализации мероприятий программы, имеющих косвенный эффект, можно отнести формирование позитивного имиджа безопасного города, повышение его туристической привлекательности.</w:t>
      </w:r>
    </w:p>
    <w:p w14:paraId="2E3FB519" w14:textId="5AA027ED" w:rsidR="00F42D47" w:rsidRPr="007B7F03" w:rsidRDefault="00F42D47" w:rsidP="00926FA3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42D47">
        <w:rPr>
          <w:rFonts w:ascii="Times New Roman" w:hAnsi="Times New Roman"/>
          <w:color w:val="0D0D0D" w:themeColor="text1" w:themeTint="F2"/>
          <w:sz w:val="28"/>
          <w:szCs w:val="28"/>
        </w:rPr>
        <w:t>В связи с развитием дорожно-транспортной сети муниципального образования «Светлогорский городской округ», капитальным ремонтом улиц, необходима установка новых технических средств организации дорожного движения, включающих в себя дорожные знаки и пешеходное ограждение.</w:t>
      </w:r>
    </w:p>
    <w:p w14:paraId="25E83F0B" w14:textId="5CA7BF38" w:rsidR="00926FA3" w:rsidRPr="007B7F03" w:rsidRDefault="00926FA3" w:rsidP="00926FA3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Необходимость разработки и реализации программы «Повышение безопасности дорожного движения на территории муниципального образования «Светлогорский городской округ» обусловлена остротой проблемы обеспечения безопасности дорожного движения, которая требует принятия неотложных мер программно-целевого характера.</w:t>
      </w:r>
    </w:p>
    <w:p w14:paraId="59C743F7" w14:textId="77777777" w:rsidR="00926FA3" w:rsidRPr="007B7F03" w:rsidRDefault="00926FA3" w:rsidP="00926FA3">
      <w:pPr>
        <w:tabs>
          <w:tab w:val="left" w:pos="709"/>
        </w:tabs>
        <w:ind w:right="-144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Настоящая программа полностью соответствует приоритетам социально-экономического развития МО «Светлогорский городской округ» на среднесрочную перспективу. </w:t>
      </w:r>
    </w:p>
    <w:p w14:paraId="4C8732B2" w14:textId="77777777" w:rsidR="00926FA3" w:rsidRPr="007B7F03" w:rsidRDefault="00926FA3" w:rsidP="00926FA3">
      <w:pPr>
        <w:ind w:right="-19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BDA463E" w14:textId="12AA99FF" w:rsidR="00926FA3" w:rsidRPr="000653A7" w:rsidRDefault="00926FA3" w:rsidP="000653A7">
      <w:pPr>
        <w:pStyle w:val="ab"/>
        <w:numPr>
          <w:ilvl w:val="0"/>
          <w:numId w:val="5"/>
        </w:numPr>
        <w:ind w:left="0" w:right="-191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Цели и задачи программы </w:t>
      </w:r>
    </w:p>
    <w:p w14:paraId="6667EFAB" w14:textId="43FA5DCB" w:rsidR="00926FA3" w:rsidRPr="000D25D3" w:rsidRDefault="00926FA3" w:rsidP="00F42D47">
      <w:pPr>
        <w:ind w:right="-19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t>Цель</w:t>
      </w:r>
      <w:r w:rsidR="00F42D47" w:rsidRPr="000D25D3">
        <w:rPr>
          <w:rFonts w:ascii="Times New Roman" w:hAnsi="Times New Roman" w:cs="Times New Roman"/>
          <w:bCs/>
          <w:sz w:val="28"/>
          <w:szCs w:val="28"/>
        </w:rPr>
        <w:t>ю</w:t>
      </w:r>
      <w:r w:rsidRPr="000D25D3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F42D47" w:rsidRPr="000D25D3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Pr="000D25D3">
        <w:rPr>
          <w:rFonts w:ascii="Times New Roman" w:hAnsi="Times New Roman" w:cs="Times New Roman"/>
          <w:bCs/>
          <w:sz w:val="28"/>
          <w:szCs w:val="28"/>
        </w:rPr>
        <w:t>:</w:t>
      </w:r>
      <w:r w:rsidR="00F42D47" w:rsidRPr="000D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8FD" w:rsidRPr="000D25D3">
        <w:rPr>
          <w:rFonts w:ascii="Times New Roman" w:hAnsi="Times New Roman" w:cs="Times New Roman"/>
          <w:bCs/>
          <w:sz w:val="28"/>
          <w:szCs w:val="28"/>
        </w:rPr>
        <w:t>развитие системы дорожного движения на дорогах и улицах населенных пунктов</w:t>
      </w:r>
      <w:r w:rsidRPr="000D25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66C8D4" w14:textId="52A477E1" w:rsidR="00F42D47" w:rsidRPr="000D25D3" w:rsidRDefault="00F42D47" w:rsidP="00F42D47">
      <w:pPr>
        <w:ind w:right="-19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требуется решить главную задачу </w:t>
      </w:r>
      <w:r w:rsidR="00926FA3" w:rsidRPr="000D25D3">
        <w:rPr>
          <w:rFonts w:ascii="Times New Roman" w:hAnsi="Times New Roman" w:cs="Times New Roman"/>
          <w:bCs/>
          <w:sz w:val="28"/>
          <w:szCs w:val="28"/>
        </w:rPr>
        <w:t>программы:</w:t>
      </w:r>
      <w:r w:rsidRPr="000D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5C5" w:rsidRPr="000D25D3">
        <w:rPr>
          <w:rFonts w:ascii="Times New Roman" w:hAnsi="Times New Roman" w:cs="Times New Roman"/>
          <w:bCs/>
          <w:sz w:val="28"/>
          <w:szCs w:val="28"/>
        </w:rPr>
        <w:t>создание условий для обеспечения безопасности дорожного движения</w:t>
      </w:r>
      <w:r w:rsidR="00744EC8" w:rsidRPr="000D25D3">
        <w:rPr>
          <w:rFonts w:ascii="Times New Roman" w:hAnsi="Times New Roman" w:cs="Times New Roman"/>
          <w:bCs/>
          <w:sz w:val="28"/>
          <w:szCs w:val="28"/>
        </w:rPr>
        <w:t>.</w:t>
      </w:r>
      <w:r w:rsidR="00926FA3" w:rsidRPr="000D25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3934C9" w14:textId="3D93B17C" w:rsidR="00F42D47" w:rsidRDefault="00F42D47" w:rsidP="00F42D47">
      <w:pPr>
        <w:ind w:right="-191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Для обеспечения поставленной задачи необходимо выполнить мероприяти</w:t>
      </w:r>
      <w:r w:rsidR="00F95B2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предусмотренн</w:t>
      </w:r>
      <w:r w:rsidR="00F95B2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ой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программой:</w:t>
      </w:r>
    </w:p>
    <w:p w14:paraId="24B4DD94" w14:textId="60D280B2" w:rsidR="00741440" w:rsidRPr="00741440" w:rsidRDefault="00741440" w:rsidP="00741440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разработка </w:t>
      </w:r>
      <w:r w:rsidR="00EA77C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ПОДД, КСОДД, ТСОДД</w:t>
      </w: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44D2CCC7" w14:textId="4145568C" w:rsidR="00EA77CA" w:rsidRDefault="00741440" w:rsidP="00741440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ремонт дорожного покрытия тротуаров и сооружений на них</w:t>
      </w:r>
      <w:r w:rsidR="00EA77C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6277657E" w14:textId="09F70303" w:rsidR="00741440" w:rsidRPr="00741440" w:rsidRDefault="00EA77CA" w:rsidP="00741440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капитальный ремонт и ремонт тротуаров.</w:t>
      </w:r>
      <w:r w:rsidR="00741440"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</w:t>
      </w:r>
    </w:p>
    <w:p w14:paraId="371D934D" w14:textId="77777777" w:rsidR="00926FA3" w:rsidRDefault="00926FA3" w:rsidP="00926FA3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0BCCCB" w14:textId="0A728B73" w:rsidR="000653A7" w:rsidRPr="000653A7" w:rsidRDefault="000653A7" w:rsidP="000653A7">
      <w:pPr>
        <w:pStyle w:val="ab"/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  <w:t>Сроки и этапы реализации Программы</w:t>
      </w:r>
    </w:p>
    <w:p w14:paraId="1CBC730C" w14:textId="77777777" w:rsidR="000653A7" w:rsidRPr="000653A7" w:rsidRDefault="000653A7" w:rsidP="000653A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Реализация мероприятий Программы предусмотрена в период с 2024 по 2026 год. Этапы не предусмотрены.</w:t>
      </w:r>
    </w:p>
    <w:p w14:paraId="333706C7" w14:textId="77777777" w:rsidR="000653A7" w:rsidRPr="007B7F03" w:rsidRDefault="000653A7" w:rsidP="00926FA3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D39F98A" w14:textId="77777777" w:rsidR="000653A7" w:rsidRPr="000653A7" w:rsidRDefault="000653A7" w:rsidP="000653A7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  <w:bookmarkStart w:id="2" w:name="_Hlk150937177"/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  <w:t>4.  Система программных мероприятий муниципальной программы</w:t>
      </w:r>
    </w:p>
    <w:p w14:paraId="2426F867" w14:textId="1F6FF658" w:rsidR="000653A7" w:rsidRPr="000653A7" w:rsidRDefault="000653A7" w:rsidP="000653A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представлены в приложении №</w:t>
      </w:r>
      <w:r w:rsidR="00EA0445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 xml:space="preserve"> </w:t>
      </w: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 xml:space="preserve">1 к муниципальной программе. </w:t>
      </w:r>
    </w:p>
    <w:p w14:paraId="06145606" w14:textId="77777777" w:rsidR="000653A7" w:rsidRPr="000653A7" w:rsidRDefault="000653A7" w:rsidP="000653A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>Качество выполнения мероприятий Программы сторонними организациями осуществляется на основании оценки работ (предоставленных услуг), выполненных в соответствии с договорами, заключенными с организациями, и требованиями, указанными в договорах.</w:t>
      </w:r>
    </w:p>
    <w:p w14:paraId="5534C60C" w14:textId="77777777" w:rsidR="000653A7" w:rsidRPr="000653A7" w:rsidRDefault="000653A7" w:rsidP="000653A7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</w:p>
    <w:p w14:paraId="649E9818" w14:textId="3648312C" w:rsidR="000653A7" w:rsidRPr="000653A7" w:rsidRDefault="000653A7" w:rsidP="000653A7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  <w:t>5. Ресурсное обеспечение муниципальной программы</w:t>
      </w:r>
    </w:p>
    <w:p w14:paraId="333DB37A" w14:textId="4769CDE7" w:rsidR="000653A7" w:rsidRPr="000653A7" w:rsidRDefault="000653A7" w:rsidP="000653A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Реализация мероприятий муниципальной программы осуществляется за счет средств областного и муниципального бюджет</w:t>
      </w:r>
      <w:r w:rsidR="00F42D4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ов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. Объем финансирования мероприятий программы приведен в приложении №2</w:t>
      </w:r>
      <w:r w:rsidR="003D6DF9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к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муниципальной программ</w:t>
      </w:r>
      <w:r w:rsidR="003D6DF9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е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и подлежит уточнению при формировании проекта бюджета муниципального образования «Светлогорский городской округ» на очередной финансовый год и плановый период в установленном порядке.</w:t>
      </w:r>
    </w:p>
    <w:bookmarkEnd w:id="2"/>
    <w:p w14:paraId="61F99D90" w14:textId="77777777" w:rsidR="000653A7" w:rsidRDefault="000653A7" w:rsidP="000653A7">
      <w:pPr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7FC5A6" w14:textId="3F0B4D0B" w:rsidR="00976F18" w:rsidRPr="000653A7" w:rsidRDefault="000653A7" w:rsidP="000653A7">
      <w:pPr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="00926FA3" w:rsidRPr="007B7F0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926FA3" w:rsidRPr="007B7F03">
        <w:rPr>
          <w:rFonts w:ascii="Times New Roman" w:hAnsi="Times New Roman" w:cs="Times New Roman"/>
          <w:b/>
          <w:bCs/>
          <w:color w:val="0D0D0D" w:themeColor="text1" w:themeTint="F2"/>
          <w:spacing w:val="-1"/>
          <w:sz w:val="28"/>
          <w:szCs w:val="28"/>
        </w:rPr>
        <w:t xml:space="preserve"> </w:t>
      </w:r>
      <w:r w:rsidR="00976F18" w:rsidRPr="00976F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Механизм реализации муниципальной программы</w:t>
      </w:r>
    </w:p>
    <w:p w14:paraId="39BDF542" w14:textId="44851E2C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Формы и методы управления реализацией программы определяются администрацией муниципального образования «Светлогорский городской округ».</w:t>
      </w:r>
    </w:p>
    <w:p w14:paraId="33353612" w14:textId="6B30A70A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руководство, контроль за ходом реализации муниципальной программы, выполнением её основных мероприятий, внесением изменений и дополнений в муниципальную программу осуществляет ответственный исполнитель – МКУ «Отдел жилищно-коммунального хозяйства Светлогорского городского округа».</w:t>
      </w:r>
    </w:p>
    <w:p w14:paraId="04D88C4E" w14:textId="1348CEC2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 реализации муниципальной программы утверждается распоряжением администрации муниципального образования «Светлогорский городской округ».</w:t>
      </w:r>
    </w:p>
    <w:p w14:paraId="31CB8F5E" w14:textId="409445DC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от 25.01.2019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</w:t>
      </w:r>
    </w:p>
    <w:p w14:paraId="034F69F2" w14:textId="2E5CFE4B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Оценка эффективности реализации программы определяется в соответствии с Порядком разработки, реализации и оценки эффективности муниципальных </w:t>
      </w: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программ, утвержденным нормативно правовыми актами органами местного самоуправления.</w:t>
      </w:r>
    </w:p>
    <w:p w14:paraId="523730F3" w14:textId="143BAB11" w:rsidR="00976F18" w:rsidRPr="00976F18" w:rsidRDefault="00976F18" w:rsidP="00F95B2C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муниципального образования «Светлогорский городской округ» ежеквартально в течение 15 календарных дней по истечении отчетного квартала.</w:t>
      </w:r>
    </w:p>
    <w:p w14:paraId="6838500B" w14:textId="4A37051E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25 февраля.</w:t>
      </w:r>
    </w:p>
    <w:p w14:paraId="2EE22749" w14:textId="41E35B6C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Результаты оценки эффективности муниципальной программы проводятся с периодичностью раз в год.</w:t>
      </w:r>
    </w:p>
    <w:p w14:paraId="56C0E281" w14:textId="3BCC234B" w:rsidR="00976F18" w:rsidRPr="00976F18" w:rsidRDefault="00976F18" w:rsidP="000653A7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Экономический отдел ежегодно в срок до 30 марта проводит оценку эффективности реализации муниципальной программы, которая включает в себя оценку достигнутых результатов муниципальной программы и степень достижения запланированного результата при фактически достигнутом уровне расходов на муниципальную программу.</w:t>
      </w:r>
    </w:p>
    <w:p w14:paraId="40BE4495" w14:textId="77777777" w:rsidR="00976F18" w:rsidRPr="00976F18" w:rsidRDefault="00976F18" w:rsidP="00976F18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оценки эффективности главой администрации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43BE4F39" w14:textId="77777777" w:rsidR="0050439B" w:rsidRDefault="0050439B" w:rsidP="00156770">
      <w:pPr>
        <w:ind w:right="-191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7CC6B8FA" w14:textId="010A7DD8" w:rsidR="000065C5" w:rsidRDefault="000653A7" w:rsidP="004A2EC7">
      <w:pPr>
        <w:ind w:right="-19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Pr="000653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Целевые индикаторы реализации муниципальной программы</w:t>
      </w:r>
    </w:p>
    <w:p w14:paraId="43741DCD" w14:textId="2F89FDE1" w:rsidR="00DA16F0" w:rsidRPr="000D25D3" w:rsidRDefault="00DA16F0" w:rsidP="004A2EC7">
      <w:p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Методика расчета целевых показателей:</w:t>
      </w:r>
    </w:p>
    <w:p w14:paraId="75F5078C" w14:textId="0E30579B" w:rsidR="004A2EC7" w:rsidRPr="000D25D3" w:rsidRDefault="00D858FD" w:rsidP="000065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4A2EC7" w:rsidRPr="000D25D3">
        <w:rPr>
          <w:rFonts w:ascii="Times New Roman" w:hAnsi="Times New Roman" w:cs="Times New Roman"/>
          <w:sz w:val="28"/>
          <w:szCs w:val="28"/>
        </w:rPr>
        <w:t>(цели) программы определяется по следующей методике:</w:t>
      </w:r>
    </w:p>
    <w:p w14:paraId="3CAA3768" w14:textId="77777777" w:rsidR="004A2EC7" w:rsidRPr="000D25D3" w:rsidRDefault="004A2EC7" w:rsidP="000065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1FCCB" w14:textId="707643FD" w:rsidR="004A2EC7" w:rsidRPr="000D25D3" w:rsidRDefault="004A2EC7" w:rsidP="004A2EC7">
      <w:pPr>
        <w:widowControl/>
        <w:autoSpaceDE/>
        <w:autoSpaceDN/>
        <w:adjustRightInd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К = </w:t>
      </w:r>
      <w:proofErr w:type="spellStart"/>
      <w:r w:rsidRPr="000D25D3">
        <w:rPr>
          <w:rFonts w:ascii="Times New Roman" w:eastAsia="Arial" w:hAnsi="Times New Roman" w:cs="Times New Roman"/>
          <w:b/>
          <w:sz w:val="28"/>
          <w:szCs w:val="28"/>
        </w:rPr>
        <w:t>Б</w:t>
      </w:r>
      <w:r w:rsidR="000D25D3">
        <w:rPr>
          <w:rFonts w:ascii="Times New Roman" w:eastAsia="Arial" w:hAnsi="Times New Roman" w:cs="Times New Roman"/>
          <w:b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proofErr w:type="spellEnd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+ К(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14:paraId="5B2BC73E" w14:textId="77777777" w:rsidR="004A2EC7" w:rsidRPr="000D25D3" w:rsidRDefault="004A2EC7" w:rsidP="004A2EC7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sz w:val="28"/>
          <w:szCs w:val="28"/>
        </w:rPr>
        <w:t>где:</w:t>
      </w:r>
    </w:p>
    <w:p w14:paraId="39878B03" w14:textId="6055776B" w:rsidR="004A2EC7" w:rsidRPr="000D25D3" w:rsidRDefault="004A2EC7" w:rsidP="004A2EC7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улиц, на которых осуществляется ремонт дорожного покрытия, тротуаров, модернизация и ремонт тех. средств, ед.;</w:t>
      </w:r>
    </w:p>
    <w:p w14:paraId="1FECC4BD" w14:textId="5E251F53" w:rsidR="004A2EC7" w:rsidRPr="000D25D3" w:rsidRDefault="004A2EC7" w:rsidP="004A2EC7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Б</w:t>
      </w:r>
      <w:r w:rsidR="000D25D3">
        <w:rPr>
          <w:rFonts w:ascii="Times New Roman" w:eastAsia="Arial" w:hAnsi="Times New Roman" w:cs="Times New Roman"/>
          <w:b/>
          <w:bCs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proofErr w:type="spellEnd"/>
      <w:r w:rsidRPr="000D25D3">
        <w:rPr>
          <w:rFonts w:ascii="Times New Roman" w:eastAsia="Arial" w:hAnsi="Times New Roman" w:cs="Times New Roman"/>
          <w:sz w:val="28"/>
          <w:szCs w:val="28"/>
        </w:rPr>
        <w:t>– базовое значение количества улиц, на которых осуществляется ремонт дорожного покрытия, тротуаров, модернизация и ремонт тех. средств, ед.;</w:t>
      </w:r>
    </w:p>
    <w:p w14:paraId="61529E79" w14:textId="31845192" w:rsidR="00D858FD" w:rsidRPr="000D25D3" w:rsidRDefault="004A2EC7" w:rsidP="004A2EC7">
      <w:pPr>
        <w:widowControl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)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улиц, на которых осуществляется ремонт дорожного покрытия, тротуаров, модернизация и ремонт тех. средств, ед.</w:t>
      </w:r>
    </w:p>
    <w:p w14:paraId="6CC7C296" w14:textId="4DE312E4" w:rsidR="004A2EC7" w:rsidRPr="000D25D3" w:rsidRDefault="004A2EC7" w:rsidP="000065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Базовое значение количества улиц, на которых осуществляется ремонт дорожного покрытия, тротуаров, модернизация и ремонт тех. средств, равно 28 ед.</w:t>
      </w:r>
    </w:p>
    <w:p w14:paraId="5B5ACC71" w14:textId="684438B7" w:rsidR="004A2EC7" w:rsidRPr="000D25D3" w:rsidRDefault="004A2EC7" w:rsidP="000065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 xml:space="preserve">Количество улиц, на которых осуществляется ремонт дорожного покрытия, тротуаров, модернизация и ремонт тех. средств, равно </w:t>
      </w:r>
      <w:r w:rsidR="00B454D3" w:rsidRPr="000D25D3">
        <w:rPr>
          <w:rFonts w:ascii="Times New Roman" w:hAnsi="Times New Roman" w:cs="Times New Roman"/>
          <w:sz w:val="28"/>
          <w:szCs w:val="28"/>
        </w:rPr>
        <w:t>7</w:t>
      </w:r>
      <w:r w:rsidRPr="000D25D3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725C8309" w14:textId="77777777" w:rsidR="004A2EC7" w:rsidRPr="000D25D3" w:rsidRDefault="004A2EC7" w:rsidP="000065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F7CF8" w14:textId="131680A9" w:rsidR="000065C5" w:rsidRPr="000D25D3" w:rsidRDefault="000065C5" w:rsidP="000065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Целевой показатель (задачи) программы определяется по следующей методике:</w:t>
      </w:r>
    </w:p>
    <w:p w14:paraId="2F6A200B" w14:textId="77777777" w:rsidR="000065C5" w:rsidRPr="000D25D3" w:rsidRDefault="000065C5" w:rsidP="000065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C19B2" w14:textId="2A609E19" w:rsidR="000065C5" w:rsidRPr="000D25D3" w:rsidRDefault="000D25D3" w:rsidP="000065C5">
      <w:pPr>
        <w:widowControl/>
        <w:autoSpaceDE/>
        <w:autoSpaceDN/>
        <w:adjustRightInd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3" w:name="_Hlk153201848"/>
      <w:proofErr w:type="spellStart"/>
      <w:r w:rsidRPr="000D25D3">
        <w:rPr>
          <w:rFonts w:ascii="Times New Roman" w:eastAsia="Arial" w:hAnsi="Times New Roman" w:cs="Times New Roman"/>
          <w:b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>дтп</w:t>
      </w:r>
      <w:proofErr w:type="spellEnd"/>
      <w:r w:rsidR="000065C5"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bookmarkEnd w:id="3"/>
      <w:r w:rsidR="000065C5"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= </w:t>
      </w:r>
      <w:proofErr w:type="spellStart"/>
      <w:r w:rsidR="000065C5" w:rsidRPr="000D25D3">
        <w:rPr>
          <w:rFonts w:ascii="Times New Roman" w:eastAsia="Arial" w:hAnsi="Times New Roman" w:cs="Times New Roman"/>
          <w:b/>
          <w:sz w:val="28"/>
          <w:szCs w:val="28"/>
        </w:rPr>
        <w:t>Б</w:t>
      </w:r>
      <w:r w:rsidR="000065C5"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аз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proofErr w:type="spellEnd"/>
      <w:r w:rsidR="000065C5"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="000065C5"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r w:rsidR="004A2EC7"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proofErr w:type="spellEnd"/>
      <w:r w:rsidR="000065C5"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r w:rsidR="000065C5"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="000065C5"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14:paraId="09527106" w14:textId="77777777" w:rsidR="000065C5" w:rsidRPr="000D25D3" w:rsidRDefault="000065C5" w:rsidP="000065C5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sz w:val="28"/>
          <w:szCs w:val="28"/>
        </w:rPr>
        <w:t>где:</w:t>
      </w:r>
    </w:p>
    <w:p w14:paraId="3AC69EDD" w14:textId="6D8E7C39" w:rsidR="000065C5" w:rsidRPr="000D25D3" w:rsidRDefault="000D25D3" w:rsidP="000065C5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25D3">
        <w:rPr>
          <w:rFonts w:ascii="Times New Roman" w:eastAsia="Arial" w:hAnsi="Times New Roman" w:cs="Times New Roman"/>
          <w:b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>дтп</w:t>
      </w:r>
      <w:proofErr w:type="spellEnd"/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0065C5" w:rsidRPr="000D25D3">
        <w:rPr>
          <w:rFonts w:ascii="Times New Roman" w:eastAsia="Arial" w:hAnsi="Times New Roman" w:cs="Times New Roman"/>
          <w:sz w:val="28"/>
          <w:szCs w:val="28"/>
        </w:rPr>
        <w:t>– общее значение показателя, ед.;</w:t>
      </w:r>
    </w:p>
    <w:p w14:paraId="70C95A26" w14:textId="6E02B38C" w:rsidR="000065C5" w:rsidRPr="000D25D3" w:rsidRDefault="000065C5" w:rsidP="000065C5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Баз.</w:t>
      </w:r>
      <w:r w:rsidR="004A2EC7"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базовое значение показателя, ед.;</w:t>
      </w:r>
    </w:p>
    <w:p w14:paraId="5AD817FC" w14:textId="2504502B" w:rsidR="000065C5" w:rsidRPr="000D25D3" w:rsidRDefault="000065C5" w:rsidP="004A2EC7">
      <w:pPr>
        <w:widowControl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bookmarkStart w:id="4" w:name="_Hlk152772105"/>
      <w:r w:rsidR="004A2EC7"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bookmarkEnd w:id="4"/>
      <w:proofErr w:type="spellEnd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) </w:t>
      </w:r>
      <w:r w:rsidRPr="000D25D3">
        <w:rPr>
          <w:rFonts w:ascii="Times New Roman" w:eastAsia="Arial" w:hAnsi="Times New Roman" w:cs="Times New Roman"/>
          <w:sz w:val="28"/>
          <w:szCs w:val="28"/>
        </w:rPr>
        <w:t xml:space="preserve">– количество </w:t>
      </w:r>
      <w:r w:rsidR="00D858FD" w:rsidRPr="000D25D3">
        <w:rPr>
          <w:rFonts w:ascii="Times New Roman" w:eastAsia="Arial" w:hAnsi="Times New Roman" w:cs="Times New Roman"/>
          <w:sz w:val="28"/>
          <w:szCs w:val="28"/>
        </w:rPr>
        <w:t>ДТП со смертельным исходом на 10 тыс. населения</w:t>
      </w:r>
      <w:r w:rsidRPr="000D25D3">
        <w:rPr>
          <w:rFonts w:ascii="Times New Roman" w:eastAsia="Arial" w:hAnsi="Times New Roman" w:cs="Times New Roman"/>
          <w:sz w:val="28"/>
          <w:szCs w:val="28"/>
        </w:rPr>
        <w:t>, ед.</w:t>
      </w:r>
    </w:p>
    <w:p w14:paraId="09F18C87" w14:textId="2AA9EC09" w:rsidR="000065C5" w:rsidRPr="000D25D3" w:rsidRDefault="00F95B2C" w:rsidP="00D858FD">
      <w:pPr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t>Количество погибших в ДТП определяется на основании ежегодных данных ОГИБДД МО МВД России «Светлогорский».</w:t>
      </w:r>
    </w:p>
    <w:p w14:paraId="4295D0F1" w14:textId="4F271DAA" w:rsidR="00EA77CA" w:rsidRPr="000065C5" w:rsidRDefault="00EA77CA" w:rsidP="00EA77CA"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Данный показатель позволяет в </w:t>
      </w:r>
      <w:r w:rsidR="00D858FD">
        <w:rPr>
          <w:rFonts w:ascii="Times New Roman" w:hAnsi="Times New Roman"/>
          <w:color w:val="0D0D0D" w:themeColor="text1" w:themeTint="F2"/>
          <w:sz w:val="28"/>
          <w:szCs w:val="28"/>
        </w:rPr>
        <w:t>количественном</w:t>
      </w:r>
      <w:r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отношении оценить конечные социально-экономические значимые результаты реализации программы в части повышения безопасности дорожного движения, а именно уменьшения количества ДТП</w:t>
      </w:r>
      <w:r w:rsidR="00EA0445"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 смертельным исходом</w:t>
      </w:r>
      <w:r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Светлогорском городском округе.</w:t>
      </w:r>
    </w:p>
    <w:p w14:paraId="4FE4EB3D" w14:textId="087D8778" w:rsidR="000653A7" w:rsidRPr="000653A7" w:rsidRDefault="000653A7" w:rsidP="000653A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0653A7" w:rsidRPr="000653A7" w:rsidSect="00FC746E">
          <w:headerReference w:type="first" r:id="rId10"/>
          <w:footerReference w:type="first" r:id="rId11"/>
          <w:pgSz w:w="11906" w:h="16838" w:code="9"/>
          <w:pgMar w:top="851" w:right="849" w:bottom="1134" w:left="1560" w:header="397" w:footer="397" w:gutter="0"/>
          <w:cols w:space="720"/>
          <w:titlePg/>
          <w:docGrid w:linePitch="326"/>
        </w:sectPr>
      </w:pPr>
    </w:p>
    <w:tbl>
      <w:tblPr>
        <w:tblpPr w:leftFromText="180" w:rightFromText="180" w:horzAnchor="margin" w:tblpY="-972"/>
        <w:tblW w:w="15328" w:type="dxa"/>
        <w:tblLook w:val="04A0" w:firstRow="1" w:lastRow="0" w:firstColumn="1" w:lastColumn="0" w:noHBand="0" w:noVBand="1"/>
      </w:tblPr>
      <w:tblGrid>
        <w:gridCol w:w="576"/>
        <w:gridCol w:w="1976"/>
        <w:gridCol w:w="2163"/>
        <w:gridCol w:w="1292"/>
        <w:gridCol w:w="1137"/>
        <w:gridCol w:w="1119"/>
        <w:gridCol w:w="960"/>
        <w:gridCol w:w="960"/>
        <w:gridCol w:w="15"/>
        <w:gridCol w:w="1142"/>
        <w:gridCol w:w="3981"/>
        <w:gridCol w:w="7"/>
      </w:tblGrid>
      <w:tr w:rsidR="004A2EC7" w:rsidRPr="004A2EC7" w14:paraId="0B471B19" w14:textId="77777777" w:rsidTr="009A77E2">
        <w:trPr>
          <w:gridAfter w:val="1"/>
          <w:wAfter w:w="7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A92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9A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AF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62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A55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D6E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8B4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B5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F6F0" w14:textId="79217596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Приложение № 1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4A2EC7" w:rsidRPr="004A2EC7" w14:paraId="4046BE13" w14:textId="77777777" w:rsidTr="009A77E2">
        <w:trPr>
          <w:gridAfter w:val="1"/>
          <w:wAfter w:w="7" w:type="dxa"/>
          <w:trHeight w:val="18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39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D74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8C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C4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D60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6D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46F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99A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6FCA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2EC7" w:rsidRPr="004A2EC7" w14:paraId="37AFC77B" w14:textId="77777777" w:rsidTr="009A77E2">
        <w:trPr>
          <w:trHeight w:val="1275"/>
        </w:trPr>
        <w:tc>
          <w:tcPr>
            <w:tcW w:w="15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B5F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Сведения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о целевых показателях (индикаторах) достижения целей МП, перечень основных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мероприятий муниципальной программы</w:t>
            </w:r>
          </w:p>
        </w:tc>
      </w:tr>
      <w:tr w:rsidR="004A2EC7" w:rsidRPr="004A2EC7" w14:paraId="3FFFBCB0" w14:textId="77777777" w:rsidTr="009A77E2">
        <w:trPr>
          <w:gridAfter w:val="1"/>
          <w:wAfter w:w="7" w:type="dxa"/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22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FAF" w14:textId="2C50313C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задачи, целевого показателя, основного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D0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показателя основного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99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47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BB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D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8C9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35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Целевое значение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C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 / соисполнитель</w:t>
            </w:r>
          </w:p>
        </w:tc>
      </w:tr>
      <w:tr w:rsidR="004A2EC7" w:rsidRPr="004A2EC7" w14:paraId="6F72A789" w14:textId="77777777" w:rsidTr="009A77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00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7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9EE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Задача 1. Создание условий для обеспечения безопасности дорожного движения</w:t>
            </w:r>
          </w:p>
        </w:tc>
      </w:tr>
      <w:tr w:rsidR="004A2EC7" w:rsidRPr="004A2EC7" w14:paraId="788D78B0" w14:textId="77777777" w:rsidTr="009A77E2">
        <w:trPr>
          <w:trHeight w:val="12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0E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CFD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ДТП со смертельным исходом на 10 тыс.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25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6A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CDB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78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12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923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5A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4A2EC7" w:rsidRPr="004A2EC7" w14:paraId="604B96DE" w14:textId="77777777" w:rsidTr="009A77E2">
        <w:trPr>
          <w:gridAfter w:val="1"/>
          <w:wAfter w:w="7" w:type="dxa"/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80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A8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6A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улиц, на которых осуществляется ремонт дорожного покрытия, тротуаров, модернизация и ремонт тех. средств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8D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F8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13C" w14:textId="7A013A5E" w:rsidR="004C0DC2" w:rsidRPr="004A2EC7" w:rsidRDefault="004C0DC2" w:rsidP="004C0D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2A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C2F6" w14:textId="53ACFF17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18A0" w14:textId="2EC2ECA6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A59" w14:textId="708B0733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2A1">
              <w:rPr>
                <w:rFonts w:ascii="Times New Roman" w:hAnsi="Times New Roman" w:cs="Times New Roman"/>
                <w:color w:val="000000"/>
              </w:rPr>
              <w:t>3</w:t>
            </w:r>
            <w:r w:rsidR="004C0DC2" w:rsidRPr="00F432A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47F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округа»,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Участники: 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06CF59EE" w14:textId="77777777" w:rsidR="00796774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258B888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890AD3E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0EF799B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FF41A52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F179EE3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7DD3D32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1840"/>
      </w:tblGrid>
      <w:tr w:rsidR="001C551A" w:rsidRPr="001C551A" w14:paraId="1AED1DDD" w14:textId="77777777" w:rsidTr="001C551A">
        <w:trPr>
          <w:trHeight w:val="11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DC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DE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EC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1D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1BF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                                     Приложение № 2</w:t>
            </w: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1C551A" w:rsidRPr="001C551A" w14:paraId="13457746" w14:textId="77777777" w:rsidTr="001C551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6B3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201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6E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60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21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E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AA" w:rsidRPr="005C60AA" w14:paraId="7F1C6007" w14:textId="77777777" w:rsidTr="005C60AA">
        <w:trPr>
          <w:trHeight w:val="156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AA2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r w:rsidRPr="005C6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5C60AA" w:rsidRPr="005C60AA" w14:paraId="56E58009" w14:textId="77777777" w:rsidTr="005C60AA">
        <w:trPr>
          <w:trHeight w:val="63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B0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00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E6F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Источники финансирования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E8A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Объемы финансового обеспечения, тыс. руб. </w:t>
            </w:r>
          </w:p>
        </w:tc>
      </w:tr>
      <w:tr w:rsidR="005C60AA" w:rsidRPr="005C60AA" w14:paraId="25B10624" w14:textId="77777777" w:rsidTr="005C60AA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B32F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EAB7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43C0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B5A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3E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2025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8D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2026 год</w:t>
            </w:r>
          </w:p>
        </w:tc>
      </w:tr>
      <w:tr w:rsidR="005C60AA" w:rsidRPr="005C60AA" w14:paraId="1CD9CC6D" w14:textId="77777777" w:rsidTr="005C60A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6B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6FF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C2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CC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95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44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6</w:t>
            </w:r>
          </w:p>
        </w:tc>
      </w:tr>
      <w:tr w:rsidR="005C60AA" w:rsidRPr="005C60AA" w14:paraId="5740A74E" w14:textId="77777777" w:rsidTr="005C60A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2E6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 xml:space="preserve">Общий </w:t>
            </w:r>
            <w:proofErr w:type="gramStart"/>
            <w:r w:rsidRPr="005C60AA">
              <w:rPr>
                <w:rFonts w:ascii="Times New Roman" w:hAnsi="Times New Roman" w:cs="Times New Roman"/>
                <w:color w:val="000000"/>
              </w:rPr>
              <w:t>объем  финансового</w:t>
            </w:r>
            <w:proofErr w:type="gramEnd"/>
            <w:r w:rsidRPr="005C60AA">
              <w:rPr>
                <w:rFonts w:ascii="Times New Roman" w:hAnsi="Times New Roman" w:cs="Times New Roman"/>
                <w:color w:val="000000"/>
              </w:rPr>
              <w:t xml:space="preserve"> обеспечения выполнения основных 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F53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0F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27 401,56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71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D281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5C60AA" w:rsidRPr="005C60AA" w14:paraId="7BCC9EB1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52B2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E10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7F21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D72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2AB1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471850C0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D6B2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82A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1D0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27 401,56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5710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46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5C60AA" w:rsidRPr="005C60AA" w14:paraId="182107F2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AB79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CA5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257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666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4AF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191A6B7A" w14:textId="77777777" w:rsidTr="005C60A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57F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70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B82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CB42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27 401,56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856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C0B9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5C60AA" w:rsidRPr="005C60AA" w14:paraId="0BC4A67B" w14:textId="77777777" w:rsidTr="005C60A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9DAF3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15586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6D5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81F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B1FC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D9A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 </w:t>
            </w:r>
          </w:p>
        </w:tc>
      </w:tr>
      <w:tr w:rsidR="005C60AA" w:rsidRPr="005C60AA" w14:paraId="3DED87C5" w14:textId="77777777" w:rsidTr="005C60A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36DFD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F4A51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33D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5E8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27 401,56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F97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52AC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5C60AA" w:rsidRPr="005C60AA" w14:paraId="65164A32" w14:textId="77777777" w:rsidTr="005C60A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E70FF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1DE12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6E9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218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EDF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40F1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3FBE9014" w14:textId="77777777" w:rsidTr="005C60A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88B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МКУ "ОЖКХ"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0F3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37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25 295,09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CF6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D1A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5C60AA" w:rsidRPr="005C60AA" w14:paraId="2E84B770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CBF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7D1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821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FA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ADB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4E856BE7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2266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D4E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9C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25 295,09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A46A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69E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5C60AA" w:rsidRPr="005C60AA" w14:paraId="7979E2AF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6477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A7C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74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25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F80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62FBE7EF" w14:textId="77777777" w:rsidTr="005C60A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4D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93B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977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33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25 295,09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C8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3CB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5C60AA" w:rsidRPr="005C60AA" w14:paraId="10557B62" w14:textId="77777777" w:rsidTr="005C60A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98F5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1E6BD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4B0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096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C82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BA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60EB7B13" w14:textId="77777777" w:rsidTr="005C60A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28C8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53C1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773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36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25 295,09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5D4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22D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5C60AA" w:rsidRPr="005C60AA" w14:paraId="44F351F7" w14:textId="77777777" w:rsidTr="005C60A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609E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69A2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CB3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16B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E0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216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131E3C69" w14:textId="77777777" w:rsidTr="005C60A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0D4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60AA">
              <w:rPr>
                <w:rFonts w:ascii="Times New Roman" w:hAnsi="Times New Roman" w:cs="Times New Roman"/>
                <w:color w:val="000000"/>
              </w:rPr>
              <w:lastRenderedPageBreak/>
              <w:t>МУ "Отдел по бюджету и финансам "Светлогорского городского округа"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587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DB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61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FEC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5C60AA" w:rsidRPr="005C60AA" w14:paraId="3C06455D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3C4C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345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78BB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6F8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6D4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048E6A31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CC29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6C2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F9A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998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D1C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5C60AA" w:rsidRPr="005C60AA" w14:paraId="495D9E1D" w14:textId="77777777" w:rsidTr="005C60A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840F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E5F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411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ED0C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BC5A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5C60A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5C60AA" w:rsidRPr="005C60AA" w14:paraId="2CA9EF2F" w14:textId="77777777" w:rsidTr="005C60AA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B1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E7E5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451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CC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E5C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E8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5C60AA" w:rsidRPr="005C60AA" w14:paraId="7E8BA9BC" w14:textId="77777777" w:rsidTr="005C60A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9E84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E986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CAB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E6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68A7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75B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  <w:tr w:rsidR="005C60AA" w:rsidRPr="005C60AA" w14:paraId="7FF9D5B6" w14:textId="77777777" w:rsidTr="005C60A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7CAB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9134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CA3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649F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7D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7E3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5C60AA" w:rsidRPr="005C60AA" w14:paraId="24B11B3D" w14:textId="77777777" w:rsidTr="005C60A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9470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6720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19AF" w14:textId="77777777" w:rsidR="005C60AA" w:rsidRPr="005C60AA" w:rsidRDefault="005C60AA" w:rsidP="005C60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06F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5DC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0EDE" w14:textId="77777777" w:rsidR="005C60AA" w:rsidRPr="005C60AA" w:rsidRDefault="005C60AA" w:rsidP="005C60A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5C60A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</w:tbl>
    <w:p w14:paraId="36FEDD70" w14:textId="77777777" w:rsidR="00D35BE0" w:rsidRPr="006A54EE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D35BE0" w:rsidRPr="006A54EE" w:rsidSect="00FC746E">
      <w:headerReference w:type="first" r:id="rId12"/>
      <w:footerReference w:type="first" r:id="rId13"/>
      <w:pgSz w:w="16837" w:h="11905" w:orient="landscape"/>
      <w:pgMar w:top="1276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9B1D" w14:textId="77777777" w:rsidR="00FC746E" w:rsidRDefault="00FC746E" w:rsidP="001E1CA7">
      <w:r>
        <w:separator/>
      </w:r>
    </w:p>
  </w:endnote>
  <w:endnote w:type="continuationSeparator" w:id="0">
    <w:p w14:paraId="103838DD" w14:textId="77777777" w:rsidR="00FC746E" w:rsidRDefault="00FC746E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E199" w14:textId="77777777" w:rsidR="00FC746E" w:rsidRDefault="00FC746E" w:rsidP="001E1CA7">
      <w:r>
        <w:separator/>
      </w:r>
    </w:p>
  </w:footnote>
  <w:footnote w:type="continuationSeparator" w:id="0">
    <w:p w14:paraId="04EF8618" w14:textId="77777777" w:rsidR="00FC746E" w:rsidRDefault="00FC746E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1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4"/>
  </w:num>
  <w:num w:numId="2" w16cid:durableId="688456598">
    <w:abstractNumId w:val="0"/>
  </w:num>
  <w:num w:numId="3" w16cid:durableId="1626161671">
    <w:abstractNumId w:val="6"/>
  </w:num>
  <w:num w:numId="4" w16cid:durableId="612127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2"/>
  </w:num>
  <w:num w:numId="6" w16cid:durableId="691541350">
    <w:abstractNumId w:val="9"/>
  </w:num>
  <w:num w:numId="7" w16cid:durableId="100341162">
    <w:abstractNumId w:val="8"/>
  </w:num>
  <w:num w:numId="8" w16cid:durableId="437020518">
    <w:abstractNumId w:val="5"/>
  </w:num>
  <w:num w:numId="9" w16cid:durableId="1581673128">
    <w:abstractNumId w:val="1"/>
  </w:num>
  <w:num w:numId="10" w16cid:durableId="53431172">
    <w:abstractNumId w:val="3"/>
  </w:num>
  <w:num w:numId="11" w16cid:durableId="83721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065C5"/>
    <w:rsid w:val="00007A80"/>
    <w:rsid w:val="0001076B"/>
    <w:rsid w:val="00024A36"/>
    <w:rsid w:val="00027107"/>
    <w:rsid w:val="00042FBA"/>
    <w:rsid w:val="00043C23"/>
    <w:rsid w:val="00056330"/>
    <w:rsid w:val="000652ED"/>
    <w:rsid w:val="000653A7"/>
    <w:rsid w:val="00076143"/>
    <w:rsid w:val="00086B1D"/>
    <w:rsid w:val="00090BC3"/>
    <w:rsid w:val="00091C5A"/>
    <w:rsid w:val="000976C9"/>
    <w:rsid w:val="000D25D3"/>
    <w:rsid w:val="000E5392"/>
    <w:rsid w:val="000E6E84"/>
    <w:rsid w:val="000E7080"/>
    <w:rsid w:val="000F1D45"/>
    <w:rsid w:val="000F20B1"/>
    <w:rsid w:val="000F7E58"/>
    <w:rsid w:val="00102208"/>
    <w:rsid w:val="00111572"/>
    <w:rsid w:val="0014664A"/>
    <w:rsid w:val="00152086"/>
    <w:rsid w:val="00152799"/>
    <w:rsid w:val="00156770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B0791"/>
    <w:rsid w:val="001B158F"/>
    <w:rsid w:val="001B1E7E"/>
    <w:rsid w:val="001C551A"/>
    <w:rsid w:val="001D5771"/>
    <w:rsid w:val="001E1CA7"/>
    <w:rsid w:val="001F6F3A"/>
    <w:rsid w:val="00203216"/>
    <w:rsid w:val="00207CC9"/>
    <w:rsid w:val="00210FA6"/>
    <w:rsid w:val="00220829"/>
    <w:rsid w:val="002345EA"/>
    <w:rsid w:val="002348B7"/>
    <w:rsid w:val="00236DD4"/>
    <w:rsid w:val="00256670"/>
    <w:rsid w:val="002609E1"/>
    <w:rsid w:val="002624DF"/>
    <w:rsid w:val="00263144"/>
    <w:rsid w:val="00266AAB"/>
    <w:rsid w:val="0027231E"/>
    <w:rsid w:val="00275272"/>
    <w:rsid w:val="00284B87"/>
    <w:rsid w:val="00290B57"/>
    <w:rsid w:val="00292086"/>
    <w:rsid w:val="00292161"/>
    <w:rsid w:val="00295926"/>
    <w:rsid w:val="00296C66"/>
    <w:rsid w:val="002A0CBE"/>
    <w:rsid w:val="002A14AA"/>
    <w:rsid w:val="002B4C56"/>
    <w:rsid w:val="002C3D41"/>
    <w:rsid w:val="002C4ECE"/>
    <w:rsid w:val="002C5FAC"/>
    <w:rsid w:val="002D323E"/>
    <w:rsid w:val="002F0062"/>
    <w:rsid w:val="002F17D4"/>
    <w:rsid w:val="003029BA"/>
    <w:rsid w:val="00313519"/>
    <w:rsid w:val="00315969"/>
    <w:rsid w:val="00316190"/>
    <w:rsid w:val="0032534D"/>
    <w:rsid w:val="00326DD2"/>
    <w:rsid w:val="00335AB1"/>
    <w:rsid w:val="00343D4C"/>
    <w:rsid w:val="003552D7"/>
    <w:rsid w:val="0036270A"/>
    <w:rsid w:val="00363FAD"/>
    <w:rsid w:val="003714B4"/>
    <w:rsid w:val="00371909"/>
    <w:rsid w:val="00377267"/>
    <w:rsid w:val="00377ED6"/>
    <w:rsid w:val="003821C8"/>
    <w:rsid w:val="00391100"/>
    <w:rsid w:val="00391174"/>
    <w:rsid w:val="003961F7"/>
    <w:rsid w:val="00397F67"/>
    <w:rsid w:val="003A6DA0"/>
    <w:rsid w:val="003B0966"/>
    <w:rsid w:val="003B1B9C"/>
    <w:rsid w:val="003B2BAF"/>
    <w:rsid w:val="003D6DF9"/>
    <w:rsid w:val="003E78AE"/>
    <w:rsid w:val="003F6FA6"/>
    <w:rsid w:val="004012F5"/>
    <w:rsid w:val="00422770"/>
    <w:rsid w:val="00424130"/>
    <w:rsid w:val="00435AF2"/>
    <w:rsid w:val="00450A98"/>
    <w:rsid w:val="004537F0"/>
    <w:rsid w:val="00471CBC"/>
    <w:rsid w:val="00482415"/>
    <w:rsid w:val="00485FA7"/>
    <w:rsid w:val="004A2EC7"/>
    <w:rsid w:val="004C0DC2"/>
    <w:rsid w:val="004D313E"/>
    <w:rsid w:val="004D314F"/>
    <w:rsid w:val="0050352B"/>
    <w:rsid w:val="0050439B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34C3"/>
    <w:rsid w:val="00566503"/>
    <w:rsid w:val="005777F2"/>
    <w:rsid w:val="005A1C33"/>
    <w:rsid w:val="005A5811"/>
    <w:rsid w:val="005B2BA6"/>
    <w:rsid w:val="005B763D"/>
    <w:rsid w:val="005C3E94"/>
    <w:rsid w:val="005C52E0"/>
    <w:rsid w:val="005C5671"/>
    <w:rsid w:val="005C60AA"/>
    <w:rsid w:val="005D543E"/>
    <w:rsid w:val="005D68AB"/>
    <w:rsid w:val="005E6D5B"/>
    <w:rsid w:val="005E70BE"/>
    <w:rsid w:val="00604C79"/>
    <w:rsid w:val="006101E6"/>
    <w:rsid w:val="0061249E"/>
    <w:rsid w:val="00615589"/>
    <w:rsid w:val="0065260B"/>
    <w:rsid w:val="00654C61"/>
    <w:rsid w:val="00654F53"/>
    <w:rsid w:val="00655288"/>
    <w:rsid w:val="006615BD"/>
    <w:rsid w:val="006760BF"/>
    <w:rsid w:val="00681DC8"/>
    <w:rsid w:val="00681F00"/>
    <w:rsid w:val="0069085E"/>
    <w:rsid w:val="006A4283"/>
    <w:rsid w:val="006A54EE"/>
    <w:rsid w:val="006B20D3"/>
    <w:rsid w:val="006C36EE"/>
    <w:rsid w:val="006E5063"/>
    <w:rsid w:val="006E5B24"/>
    <w:rsid w:val="006F5922"/>
    <w:rsid w:val="007005B8"/>
    <w:rsid w:val="007016B3"/>
    <w:rsid w:val="00712C50"/>
    <w:rsid w:val="007232E0"/>
    <w:rsid w:val="00723719"/>
    <w:rsid w:val="00727493"/>
    <w:rsid w:val="00727926"/>
    <w:rsid w:val="00741440"/>
    <w:rsid w:val="00744C29"/>
    <w:rsid w:val="00744EC8"/>
    <w:rsid w:val="00754B45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7F69BB"/>
    <w:rsid w:val="00802192"/>
    <w:rsid w:val="00811FCF"/>
    <w:rsid w:val="00814F55"/>
    <w:rsid w:val="00837DC6"/>
    <w:rsid w:val="0084033E"/>
    <w:rsid w:val="0084621F"/>
    <w:rsid w:val="0084694F"/>
    <w:rsid w:val="00862AD6"/>
    <w:rsid w:val="00870257"/>
    <w:rsid w:val="00883937"/>
    <w:rsid w:val="008A17DB"/>
    <w:rsid w:val="008A6668"/>
    <w:rsid w:val="008B0D69"/>
    <w:rsid w:val="008C6BC0"/>
    <w:rsid w:val="008F6E98"/>
    <w:rsid w:val="00926FA3"/>
    <w:rsid w:val="00941B10"/>
    <w:rsid w:val="00950F65"/>
    <w:rsid w:val="0097309D"/>
    <w:rsid w:val="00976F18"/>
    <w:rsid w:val="00991F29"/>
    <w:rsid w:val="00994D8C"/>
    <w:rsid w:val="009A77E2"/>
    <w:rsid w:val="009B0339"/>
    <w:rsid w:val="009B1F08"/>
    <w:rsid w:val="009B2587"/>
    <w:rsid w:val="009D067D"/>
    <w:rsid w:val="009D168E"/>
    <w:rsid w:val="009D4379"/>
    <w:rsid w:val="009E0EAC"/>
    <w:rsid w:val="009E26CE"/>
    <w:rsid w:val="009F5DC9"/>
    <w:rsid w:val="00A1414D"/>
    <w:rsid w:val="00A65D28"/>
    <w:rsid w:val="00A71869"/>
    <w:rsid w:val="00A73789"/>
    <w:rsid w:val="00A8674A"/>
    <w:rsid w:val="00A950FF"/>
    <w:rsid w:val="00A95CC9"/>
    <w:rsid w:val="00AA5511"/>
    <w:rsid w:val="00AD7E71"/>
    <w:rsid w:val="00AE66B0"/>
    <w:rsid w:val="00AE7D19"/>
    <w:rsid w:val="00B03EA3"/>
    <w:rsid w:val="00B10C35"/>
    <w:rsid w:val="00B21612"/>
    <w:rsid w:val="00B32281"/>
    <w:rsid w:val="00B35A60"/>
    <w:rsid w:val="00B420E0"/>
    <w:rsid w:val="00B4349C"/>
    <w:rsid w:val="00B44272"/>
    <w:rsid w:val="00B44E8C"/>
    <w:rsid w:val="00B454D3"/>
    <w:rsid w:val="00B5001F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07FC5"/>
    <w:rsid w:val="00C26F23"/>
    <w:rsid w:val="00C27955"/>
    <w:rsid w:val="00C319EB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9592A"/>
    <w:rsid w:val="00CB3146"/>
    <w:rsid w:val="00CC27C9"/>
    <w:rsid w:val="00CC7512"/>
    <w:rsid w:val="00CE0621"/>
    <w:rsid w:val="00CE0D08"/>
    <w:rsid w:val="00CF0846"/>
    <w:rsid w:val="00CF3DAF"/>
    <w:rsid w:val="00D0131A"/>
    <w:rsid w:val="00D35BE0"/>
    <w:rsid w:val="00D36242"/>
    <w:rsid w:val="00D36658"/>
    <w:rsid w:val="00D46F38"/>
    <w:rsid w:val="00D7081E"/>
    <w:rsid w:val="00D858FD"/>
    <w:rsid w:val="00D90451"/>
    <w:rsid w:val="00D90D20"/>
    <w:rsid w:val="00DA125A"/>
    <w:rsid w:val="00DA16F0"/>
    <w:rsid w:val="00DA3F03"/>
    <w:rsid w:val="00DA7F28"/>
    <w:rsid w:val="00DB2337"/>
    <w:rsid w:val="00DB5FF7"/>
    <w:rsid w:val="00DC1A28"/>
    <w:rsid w:val="00DC6A94"/>
    <w:rsid w:val="00DE0742"/>
    <w:rsid w:val="00DF2B96"/>
    <w:rsid w:val="00E057B1"/>
    <w:rsid w:val="00E30AB7"/>
    <w:rsid w:val="00E31A93"/>
    <w:rsid w:val="00E469AA"/>
    <w:rsid w:val="00E54488"/>
    <w:rsid w:val="00E6661E"/>
    <w:rsid w:val="00E74D8E"/>
    <w:rsid w:val="00E74DB6"/>
    <w:rsid w:val="00E768EF"/>
    <w:rsid w:val="00E76A1F"/>
    <w:rsid w:val="00EA0445"/>
    <w:rsid w:val="00EA77CA"/>
    <w:rsid w:val="00EC5B87"/>
    <w:rsid w:val="00EC5C39"/>
    <w:rsid w:val="00EE4297"/>
    <w:rsid w:val="00F027B7"/>
    <w:rsid w:val="00F05695"/>
    <w:rsid w:val="00F112C5"/>
    <w:rsid w:val="00F35457"/>
    <w:rsid w:val="00F36989"/>
    <w:rsid w:val="00F42D47"/>
    <w:rsid w:val="00F432A1"/>
    <w:rsid w:val="00F4665B"/>
    <w:rsid w:val="00F51778"/>
    <w:rsid w:val="00F571C5"/>
    <w:rsid w:val="00F802F6"/>
    <w:rsid w:val="00F8315A"/>
    <w:rsid w:val="00F95B2C"/>
    <w:rsid w:val="00FB5E08"/>
    <w:rsid w:val="00FC7270"/>
    <w:rsid w:val="00FC746E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F4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Усманова Наталья Манулловна</cp:lastModifiedBy>
  <cp:revision>62</cp:revision>
  <cp:lastPrinted>2024-05-03T13:36:00Z</cp:lastPrinted>
  <dcterms:created xsi:type="dcterms:W3CDTF">2023-10-30T11:20:00Z</dcterms:created>
  <dcterms:modified xsi:type="dcterms:W3CDTF">2024-07-19T10:22:00Z</dcterms:modified>
</cp:coreProperties>
</file>