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РЕШЕНИЕ </w:t>
      </w:r>
    </w:p>
    <w:p w:rsidR="00CA30CA" w:rsidRDefault="00CA30CA" w:rsidP="00CA30CA">
      <w:pPr>
        <w:pStyle w:val="a3"/>
        <w:jc w:val="center"/>
      </w:pPr>
      <w:r>
        <w:rPr>
          <w:sz w:val="20"/>
          <w:szCs w:val="20"/>
        </w:rPr>
        <w:t>от 20 декабря 2010 года № 115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Об утверждении Положения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«О межбюджетных отношениях в Светлогорском районе» </w:t>
      </w:r>
      <w:bookmarkStart w:id="0" w:name="_GoBack"/>
      <w:bookmarkEnd w:id="0"/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Калининградской области от 20.10.2008 г. № 277 «О межбюджетных отношениях», руководствуясь Уставом муниципального образования «Светлогорский район», районный Совет депутатов </w:t>
      </w:r>
    </w:p>
    <w:p w:rsidR="00CA30CA" w:rsidRDefault="00CA30CA" w:rsidP="00CA30CA">
      <w:pPr>
        <w:pStyle w:val="a3"/>
      </w:pPr>
      <w:r>
        <w:rPr>
          <w:b/>
          <w:bCs/>
          <w:sz w:val="20"/>
          <w:szCs w:val="20"/>
        </w:rPr>
        <w:t xml:space="preserve">решил: </w:t>
      </w:r>
    </w:p>
    <w:p w:rsidR="00CA30CA" w:rsidRDefault="00CA30CA" w:rsidP="00CA30CA">
      <w:pPr>
        <w:pStyle w:val="a3"/>
      </w:pPr>
      <w:r>
        <w:rPr>
          <w:b/>
          <w:bCs/>
          <w:sz w:val="20"/>
          <w:szCs w:val="20"/>
        </w:rPr>
        <w:t xml:space="preserve">1. Утвердить Положение «О межбюджетных отношениях в Светлогорском районе» согласно приложению. </w:t>
      </w:r>
    </w:p>
    <w:p w:rsidR="00CA30CA" w:rsidRDefault="00CA30CA" w:rsidP="00CA30CA">
      <w:pPr>
        <w:pStyle w:val="a3"/>
      </w:pPr>
      <w:r>
        <w:rPr>
          <w:b/>
          <w:bCs/>
          <w:sz w:val="20"/>
          <w:szCs w:val="20"/>
        </w:rPr>
        <w:t xml:space="preserve">2. Признать утратившим силу решение районного Совета депутатов Светлогорского района от 7 декабря 2009 года № 19 «Об утверждении Положения о межбюджетных отношениях в Светлогорском районе» с момента вступления в силу настоящего решения. </w:t>
      </w:r>
    </w:p>
    <w:p w:rsidR="00CA30CA" w:rsidRDefault="00CA30CA" w:rsidP="00CA30CA">
      <w:pPr>
        <w:pStyle w:val="a3"/>
      </w:pPr>
      <w:r>
        <w:rPr>
          <w:b/>
          <w:bCs/>
          <w:sz w:val="20"/>
          <w:szCs w:val="20"/>
        </w:rPr>
        <w:t xml:space="preserve">3. Контроль за исполнением настоящего решения возложить на председателя комиссии по бюджету, финансам и экономической политике районного Совета депутатов (В.В. Бондаренко). </w:t>
      </w:r>
    </w:p>
    <w:p w:rsidR="00CA30CA" w:rsidRDefault="00CA30CA" w:rsidP="00CA30CA">
      <w:pPr>
        <w:pStyle w:val="a3"/>
      </w:pPr>
      <w:r>
        <w:rPr>
          <w:b/>
          <w:bCs/>
          <w:sz w:val="20"/>
          <w:szCs w:val="20"/>
        </w:rPr>
        <w:t xml:space="preserve">4. Опубликовать решение в газете «Вестник Светлогорска». </w:t>
      </w:r>
    </w:p>
    <w:p w:rsidR="00CA30CA" w:rsidRDefault="00CA30CA" w:rsidP="00CA30CA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Решение вступает в силу со дня опубликования. </w:t>
      </w:r>
    </w:p>
    <w:p w:rsidR="00CA30CA" w:rsidRDefault="00CA30CA" w:rsidP="00CA30CA">
      <w:pPr>
        <w:pStyle w:val="a3"/>
        <w:rPr>
          <w:b/>
          <w:bCs/>
          <w:sz w:val="20"/>
          <w:szCs w:val="20"/>
        </w:rPr>
      </w:pPr>
    </w:p>
    <w:p w:rsidR="00CA30CA" w:rsidRDefault="00CA30CA" w:rsidP="00CA30CA">
      <w:pPr>
        <w:pStyle w:val="a3"/>
        <w:rPr>
          <w:b/>
          <w:bCs/>
          <w:sz w:val="20"/>
          <w:szCs w:val="20"/>
        </w:rPr>
      </w:pPr>
    </w:p>
    <w:p w:rsidR="00CA30CA" w:rsidRDefault="00CA30CA" w:rsidP="00CA30CA">
      <w:pPr>
        <w:pStyle w:val="a3"/>
      </w:pP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Глава Светлогорского района </w:t>
      </w:r>
      <w:r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CA30CA" w:rsidRDefault="00CA30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CA30CA" w:rsidRDefault="00CA30CA" w:rsidP="00CA30CA">
      <w:pPr>
        <w:pStyle w:val="a3"/>
        <w:jc w:val="right"/>
      </w:pPr>
      <w:r>
        <w:rPr>
          <w:sz w:val="20"/>
          <w:szCs w:val="20"/>
        </w:rPr>
        <w:lastRenderedPageBreak/>
        <w:t xml:space="preserve">Приложение </w:t>
      </w:r>
    </w:p>
    <w:p w:rsidR="00CA30CA" w:rsidRDefault="00CA30CA" w:rsidP="00CA30CA">
      <w:pPr>
        <w:pStyle w:val="a3"/>
        <w:jc w:val="right"/>
      </w:pPr>
      <w:r>
        <w:rPr>
          <w:sz w:val="20"/>
          <w:szCs w:val="20"/>
        </w:rPr>
        <w:t xml:space="preserve">к решению районного Совета </w:t>
      </w:r>
    </w:p>
    <w:p w:rsidR="00CA30CA" w:rsidRDefault="00CA30CA" w:rsidP="00CA30CA">
      <w:pPr>
        <w:pStyle w:val="a3"/>
        <w:jc w:val="right"/>
      </w:pPr>
      <w:r>
        <w:rPr>
          <w:sz w:val="20"/>
          <w:szCs w:val="20"/>
        </w:rPr>
        <w:t xml:space="preserve">депутатов Светлогорского района </w:t>
      </w:r>
    </w:p>
    <w:p w:rsidR="00CA30CA" w:rsidRDefault="00CA30CA" w:rsidP="00CA30CA">
      <w:pPr>
        <w:pStyle w:val="a3"/>
        <w:jc w:val="right"/>
      </w:pPr>
      <w:r>
        <w:rPr>
          <w:sz w:val="20"/>
          <w:szCs w:val="20"/>
        </w:rPr>
        <w:t xml:space="preserve">от 20 декабря 2010 года № 115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ПОЛОЖЕНИЕ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1. Общие положения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Настоящее Положение «О межбюджетных отношениях в Светлогорском районе» (далее по тексту Положение) определяет порядок регулирования межбюджетных отношений, возникающих между органами местного самоуправления Светлогорского района Калининградской области и органами местного самоуправления поселений, входящих в состав Светлогорского района, порядок и условия предоставления межбюджетных трансфертов.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Межбюджетные отношения в Светлогорском районе регулируются Бюджетным кодексом Российской Федерации, нормативными правовыми актами Российской Федерации, Законом Калининградской области «О межбюджетных отношениях», Уставом муниципального образования «Светлогорский район», иными законами и нормативными правовыми актами Калининградской области и Светлогорского района, регламентирующими межбюджетные отношения Светлогорского района и поселений, входящих в его состав.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2. Принципы межбюджетных отношений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Межбюджетные отношения на территории Светлогорского района основаны на принципах: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разграничения доходов и расходов между уровнями бюджета района и входящими в его состав бюджетами поселений;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обеспечения равного доступа граждан к бюджетным услугам путем выравнивания уровней бюджетной обеспеченности поселений;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повышения заинтересованности органов местного самоуправления поселений в социально-экономическом развитии поселений и увеличения собственных доходов бюджетов поселений;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равенства каждого бюджета поселения во взаимоотношениях с бюджетом района;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взаимной ответственности органов местного самоуправления Светлогорского района и органов местного самоуправления поселений за соблюдение обязательств по межбюджетным отношениям;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применения единого порядка формирования доходов и осуществления расходов для всех бюджетов поселений;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компенсации бюджетам поселений потерь, возникающих вследствие решений, принимаемых органом местного самоуправления района и приводящих к уменьшению доходов или увеличению расходов бюджетов поселений;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гласности и прозрачности межбюджетных отношений.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>3</w:t>
      </w:r>
      <w:r>
        <w:rPr>
          <w:b/>
          <w:bCs/>
          <w:i/>
          <w:i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Формы межбюджетных трансфертов из бюджета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Светлогорского района бюджетам поселений и из бюджетов поселений в бюджет Светлогорского района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Межбюджетные трансферты из бюджета района бюджетам поселений предоставляются в форме: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1) дотаций из бюджета Светлогорского района на выравнивание бюджетной обеспеченности поселений;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2) субсидий, перечисляемых из бюджетов поселений в бюджет Светлогорского района на решение вопросов местного значения межмуниципального характера;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lastRenderedPageBreak/>
        <w:t xml:space="preserve">3) субсидий из бюджетов поселений в бюджет Светлогорского района на осуществления своих полномочий по решению вопросов местного значения, в соответствии с заключенными соглашениями;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4) иных межбюджетных трансфертов.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4. Условия предоставления межбюджетных трансфертов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из бюджета Светлогорского района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4.1. Межбюджетные трансферты из бюджета Светлогорского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бюджетам поселений, входящим в его состав, предоставляются при условии соблюдения органами местного самоуправления поселений бюджетного законодательства и законодательства Российской Федерации о налогах и сборах, законодательства Калининградской области, нормативно-правовых актов органов местного самоуправления Светлогорского района, регулирующие бюджетные правоотношения.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4.2. Решением районного Совета депутатов Светлогорского района (далее по тексту Совет) о бюджете Светлогорского района на очередной финансовый год могут быть установлены дополнительные условия предоставления субсидий из бюджета района бюджетам поселений.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4.3. При несоблюдении органами местного самоуправления поселений, входящих в состав Светлогорского района, условий предоставления межбюджетных трансфертов из бюджета Светлогорского района орган местного самоуправления района, уполномоченный в сфере финансов, вправе приостановить предоставление межбюджетных трансфертов (за исключением субвенций из фонда компенсаций) бюджетам соответствующих поселений.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5. Порядок определения объема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фонда финансовой поддержки поселений и распределения дотаций на выравнивание бюджетной обеспеченности поселений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из бюджета Светлогорского района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5.1. Дотации на выравнивание бюджетной обеспеченности поселений из бюджета Светлогорского района предоставляются поселениям, входящим в его состав, в соответствии с правовыми актами Совета депутатов Светлогорского района, принятого в соответствии с бюджетным законодательством и Законом Калининградской области «О межбюджетных отношениях».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5.2. Дотации на выравнивание бюджетной обеспеченности поселений из бюджета Светлогорского района образуют районный фонд финансовой поддержки поселений, размер которого утверждается решением Совета депутатов Светлогорского района о бюджете района на очередной финансовый год. В случае, если проект бюджета Светлогорского района составляется и утверждается на очередной финансовый год и плановый период, допускается утверждение на плановый период нераспределенного между поселениями объема на выравнивание бюджетной обеспеченности поселений в размере не более 15 процентов общего объема дотаций, утвержденного на первый год планового периода и не более 20 процентов общего объема указанных дотаций, утвержденного на второй год планового периода.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5.3. Районный фонд финансовой поддержки поселений формируется за счет налоговых и неналоговых доходов бюджета района и источников финансирования дефицита бюджета Светлогорского района, и не может быть менее объема, установленного Законом Калининградской области в расчете на одного жителя района. Объем фонда финансовой поддержки поселений ежегодно, за исключением года, на который прогноз налоговых и неналоговых доходов бюджета Светлогорского района сформирован со снижением относительно предыдущего года, увеличивается на индекс потребительских цен, доведенный до муниципального района законом Калининградской области об областном бюджете на очередной финансовый год и плановый период.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5.4. Дотации на выравнивание бюджетной обеспеченности поселений из бюджета Светлогорского района предоставляются поселениям, входящим в его состав,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поселений Светлогорского района.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5.5. Уровень расчетной бюджетной обеспеченности поселения с учетом дотаций на выравнивание бюджетной обеспеченности поселений из бюджета Светлогорского района не может превышать уровень расчетной бюджетной обеспеченности с учетом дотаций из указанного фонда иного поселения, входящего в состав Светлогорского района, которое до распределения указанных дотаций имело более высокий уровень расчетной бюджетной обеспеченности.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lastRenderedPageBreak/>
        <w:t xml:space="preserve">5.6. Распределение дотаций на выравнивание бюджетной обеспеченности поселений из бюджета Светлогорского района осуществляется в соответствии с Законом Калининградской области «О межбюджетных отношениях» и утверждается решением районного Совета депутатов о бюджете Светлогорского района на очередной финансовый год (очередной финансовый год и плановый период).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6. Порядок предоставления межбюджетных трансфертов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из бюджета района бюджетам поселений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6.1. Межбюджетные трансферты из бюджета Светлогорского района бюджетам поселений, входящих в его состав, предоставляются при условии соблюдения требований бюджетного законодательства о предоставлении межбюджетных трансфертов в пределах лимитов бюджетных обязательств, предусмотренных сводной бюджетной росписью бюджета Светлогорского района на соответствующий бюджетный год и плановый период.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6.2. Межбюджетные трансферты перечисляются в установленном порядке в поселения на счета территориальных органов Федерального казначейства, открытые для кассового обслуживания бюджетов поселений, не позднее 25 числа каждого месяца.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6.3. Учет операций, связанных с использованием межбюджетных трансфертов, осуществляется на лицевых счетах получателей средств местных бюджетов.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6.4. Органы местного самоуправления поселений представляют в финансовый орган администрации Светлогорского района, отчеты о расходовании межбюджетных трансфертов одновременно с представлением отчетов об исполнении бюджетов поселений.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7. Иные межбюджетные трансферты </w:t>
      </w:r>
    </w:p>
    <w:p w:rsidR="00CA30CA" w:rsidRDefault="00CA30CA" w:rsidP="00CA30CA">
      <w:pPr>
        <w:pStyle w:val="a3"/>
        <w:jc w:val="center"/>
      </w:pPr>
      <w:r>
        <w:rPr>
          <w:b/>
          <w:bCs/>
          <w:sz w:val="20"/>
          <w:szCs w:val="20"/>
        </w:rPr>
        <w:t xml:space="preserve">бюджетам поселений из бюджета муниципального района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7.1. Решением Совета депутатов Светлогорского района, принимаемым в соответствии с действующим бюджетным законодательством, из бюджета Светлогорского района бюджетам поселений, входящих в его состав, могут предоставляться иные межбюджетные трансферты, в том числе: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межбюджетные трансферты на осуществление части полномочий по решению вопросов местного значения в соответствии с заключенными соглашениями;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межбюджетные трансферты бюджетам поселений, входящим в состав муниципального района, из бюджета муниципального района в целях выполнения программ комплексного социально-экономического развития территорий;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средства, перечисляемые по взаимным расчетам из бюджета муниципального района, в том числе для компенсации дополнительных расходов, возникших в результате решений, принятых органами власти другого уровня.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7.2. Решением районного Совета депутатов о бюджете муниципального образования «Светлогорский район» на очередной финансовый год и плановый период могут быть предусмотрены дотации на обеспечение мер по дополнительной поддержке бюджетов поселений.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7.3. Распределение дотаций на обеспечение мер по дополнительной поддержке бюджетов поселений и иных межбюджетных трансфертов между бюджетами поселений устанавливается постановлением главы администрации муниципального района. </w:t>
      </w:r>
    </w:p>
    <w:p w:rsidR="00CA30CA" w:rsidRDefault="00CA30CA" w:rsidP="00CA30CA">
      <w:pPr>
        <w:pStyle w:val="a3"/>
      </w:pPr>
      <w:r>
        <w:rPr>
          <w:b/>
          <w:bCs/>
          <w:sz w:val="20"/>
          <w:szCs w:val="20"/>
        </w:rPr>
        <w:t xml:space="preserve">8. Межбюджетные трансферты из бюджетов поселений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8.1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порядке, установленном решением Советов депутатов поселений, принимаемым в соответствии с нормами действующего бюджетного законодательства, из бюджетов поселений в бюджет Светлогорского района могут предоставляться субсидии на осуществление органами местного самоуправления муниципального района полномочий органов местного самоуправления поселений, в соответствии с заключенными соглашениями.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8.2 На решение вопросов межмуниципального характера из бюджетов поселений в бюджет муниципального района перечисляются межбюджетные трансферты (субсидии), в том числе: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lastRenderedPageBreak/>
        <w:t xml:space="preserve">-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организация оказания на территории муниципального района скорой медицинской помощи, первичной медико-санитарной помощи в амбулаторно-поликлинических, стационарно-поликлинических учреждениях, медицинской помощи женщинам в период беременности, </w:t>
      </w:r>
      <w:proofErr w:type="gramStart"/>
      <w:r>
        <w:rPr>
          <w:sz w:val="20"/>
          <w:szCs w:val="20"/>
        </w:rPr>
        <w:t>во время</w:t>
      </w:r>
      <w:proofErr w:type="gramEnd"/>
      <w:r>
        <w:rPr>
          <w:sz w:val="20"/>
          <w:szCs w:val="20"/>
        </w:rPr>
        <w:t xml:space="preserve"> и после родов;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организация утилизации и переработки бытовых и промышленных отходов; </w:t>
      </w:r>
    </w:p>
    <w:p w:rsidR="00CA30CA" w:rsidRDefault="00CA30CA" w:rsidP="00CA30CA">
      <w:pPr>
        <w:pStyle w:val="a3"/>
      </w:pPr>
      <w:r>
        <w:rPr>
          <w:sz w:val="20"/>
          <w:szCs w:val="20"/>
        </w:rPr>
        <w:t xml:space="preserve">- формирование и содержание муниципального архива, включая хранение архивных фондов поселений.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09"/>
    <w:rsid w:val="00022184"/>
    <w:rsid w:val="00035A30"/>
    <w:rsid w:val="00062509"/>
    <w:rsid w:val="00C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D868"/>
  <w15:chartTrackingRefBased/>
  <w15:docId w15:val="{9CE50B48-7249-46E3-BAA6-6A77FB5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1867</Words>
  <Characters>10648</Characters>
  <Application>Microsoft Office Word</Application>
  <DocSecurity>0</DocSecurity>
  <Lines>88</Lines>
  <Paragraphs>24</Paragraphs>
  <ScaleCrop>false</ScaleCrop>
  <Company>Microsoft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2018-11-14T10:21:00Z</dcterms:created>
  <dcterms:modified xsi:type="dcterms:W3CDTF">2018-11-14T10:22:00Z</dcterms:modified>
</cp:coreProperties>
</file>