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b w:val="false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</w:rPr>
      </w:r>
      <w:r>
        <w:rPr>
          <w:rFonts w:ascii="Times New Roman" w:hAnsi="Times New Roman" w:cs="Times New Roman"/>
          <w:b w:val="false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</w: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47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47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rStyle w:val="844"/>
          <w:b/>
          <w:bCs/>
          <w:color w:val="000000"/>
          <w:sz w:val="28"/>
          <w:szCs w:val="28"/>
        </w:rPr>
        <w:t xml:space="preserve">О внесении измен</w:t>
      </w:r>
      <w:r>
        <w:rPr>
          <w:rStyle w:val="844"/>
          <w:b/>
          <w:bCs/>
          <w:color w:val="000000"/>
          <w:sz w:val="28"/>
          <w:szCs w:val="28"/>
        </w:rPr>
        <w:t xml:space="preserve">ений в Положение о муниципальном контроле за исполнением единой теплоснабжающей организацией 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от 30.08.2021 года № 47</w:t>
      </w:r>
      <w:r/>
    </w:p>
    <w:p>
      <w:pPr>
        <w:pStyle w:val="848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49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6"/>
          <w:color w:val="000000"/>
        </w:rPr>
      </w:r>
      <w:r>
        <w:rPr>
          <w:rStyle w:val="846"/>
          <w:color w:val="000000"/>
        </w:rPr>
        <w:t xml:space="preserve">В соответствии с Федеральным законом</w:t>
      </w:r>
      <w:r>
        <w:rPr>
          <w:rStyle w:val="846"/>
          <w:color w:val="000000"/>
        </w:rPr>
        <w:t xml:space="preserve"> от 31.07.2</w:t>
      </w:r>
      <w:r>
        <w:rPr>
          <w:rStyle w:val="846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49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4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42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</w:t>
      </w:r>
      <w:r>
        <w:rPr>
          <w:rFonts w:ascii="Times New Roman" w:hAnsi="Times New Roman" w:cs="Times New Roman" w:eastAsia="Times New Roman"/>
          <w:b/>
          <w:sz w:val="24"/>
        </w:rPr>
        <w:t xml:space="preserve"> 6.2.2.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47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5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42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</w:t>
      </w:r>
      <w:r>
        <w:rPr>
          <w:rFonts w:ascii="Times New Roman" w:hAnsi="Times New Roman" w:cs="Times New Roman" w:eastAsia="Times New Roman"/>
          <w:b/>
          <w:sz w:val="24"/>
        </w:rPr>
        <w:t xml:space="preserve"> 6.3.2.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47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pStyle w:val="842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</w:t>
      </w:r>
      <w:r>
        <w:rPr>
          <w:rFonts w:ascii="Times New Roman" w:hAnsi="Times New Roman" w:cs="Times New Roman" w:eastAsia="Times New Roman"/>
          <w:b/>
          <w:sz w:val="24"/>
        </w:rPr>
        <w:t xml:space="preserve"> 6.5.2.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47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pStyle w:val="842"/>
        <w:numPr>
          <w:ilvl w:val="0"/>
          <w:numId w:val="1"/>
        </w:numPr>
        <w:ind w:left="0" w:right="0" w:firstLine="850"/>
        <w:jc w:val="both"/>
        <w:spacing w:lineRule="auto" w:line="264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Внести изменение в Положение о </w:t>
      </w:r>
      <w:r>
        <w:rPr>
          <w:rFonts w:ascii="Times New Roman" w:hAnsi="Times New Roman" w:cs="Times New Roman" w:eastAsia="Times New Roman"/>
          <w:b/>
          <w:sz w:val="24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окру» от 30.08.2021 года № 47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, добави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в раздел 9 - Ключевые показатели эффективности и результативности муниципального контроля за выполнением единой теплоснабжающей организацией мероприятий по строительству реконструкции и (или) модернизации объектов теплоснабжения, со следующим содержанием: </w:t>
      </w:r>
      <w:r/>
    </w:p>
    <w:p>
      <w:pPr>
        <w:pStyle w:val="842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контроля </w:t>
      </w:r>
      <w:r>
        <w:rPr>
          <w:rFonts w:ascii="Times New Roman" w:hAnsi="Times New Roman" w:cs="Times New Roman" w:eastAsia="Calibri"/>
          <w:b/>
          <w:bCs/>
          <w:sz w:val="24"/>
          <w:szCs w:val="28"/>
        </w:rPr>
        <w:t xml:space="preserve">за выполнением единой теплоснабжающей организацией мероприятий по строительству реконструкции и (или) модернизации объектов те</w:t>
      </w:r>
      <w:r>
        <w:rPr>
          <w:rFonts w:ascii="Times New Roman" w:hAnsi="Times New Roman" w:cs="Times New Roman" w:eastAsia="Calibri"/>
          <w:b/>
          <w:bCs/>
          <w:sz w:val="24"/>
          <w:szCs w:val="28"/>
        </w:rPr>
        <w:t xml:space="preserve">п</w:t>
      </w:r>
      <w:r>
        <w:rPr>
          <w:rFonts w:ascii="Times New Roman" w:hAnsi="Times New Roman" w:cs="Times New Roman" w:eastAsia="Calibri"/>
          <w:b/>
          <w:bCs/>
          <w:sz w:val="24"/>
          <w:szCs w:val="28"/>
        </w:rPr>
        <w:t xml:space="preserve">лоснабжения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pStyle w:val="842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4"/>
          <w:szCs w:val="28"/>
        </w:rPr>
        <w:t xml:space="preserve">за</w:t>
      </w:r>
      <w:r>
        <w:rPr>
          <w:rFonts w:ascii="Times New Roman" w:hAnsi="Times New Roman" w:cs="Times New Roman"/>
          <w:b/>
          <w:sz w:val="24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являются: </w:t>
      </w:r>
      <w:r>
        <w:rPr>
          <w:b/>
          <w:sz w:val="24"/>
        </w:rPr>
      </w:r>
      <w:r/>
    </w:p>
    <w:p>
      <w:pPr>
        <w:pStyle w:val="842"/>
        <w:numPr>
          <w:ilvl w:val="0"/>
          <w:numId w:val="9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42"/>
        <w:numPr>
          <w:ilvl w:val="0"/>
          <w:numId w:val="9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pStyle w:val="842"/>
        <w:numPr>
          <w:ilvl w:val="1"/>
          <w:numId w:val="10"/>
        </w:numPr>
        <w:ind w:left="0" w:firstLine="851"/>
        <w:jc w:val="both"/>
        <w:spacing w:lineRule="auto" w:line="2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pStyle w:val="842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42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b/>
          <w:sz w:val="24"/>
        </w:rPr>
      </w:r>
      <w:r/>
    </w:p>
    <w:p>
      <w:pPr>
        <w:pStyle w:val="842"/>
        <w:numPr>
          <w:ilvl w:val="1"/>
          <w:numId w:val="10"/>
        </w:numPr>
        <w:ind w:left="0" w:firstLine="851"/>
        <w:jc w:val="both"/>
        <w:spacing w:lineRule="auto" w:line="264" w:after="0"/>
        <w:tabs>
          <w:tab w:val="left" w:pos="567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42"/>
        <w:numPr>
          <w:ilvl w:val="0"/>
          <w:numId w:val="1"/>
        </w:numPr>
        <w:ind w:left="0" w:right="0" w:firstLine="709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Style w:val="850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</w:t>
      </w:r>
      <w:r>
        <w:rPr>
          <w:rStyle w:val="851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постоянную комиссию по вопросам жилищно-коммунального хозяйства, строительства и благоустройства (А.В. </w:t>
      </w:r>
      <w:r>
        <w:rPr>
          <w:rStyle w:val="851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Мойса</w:t>
      </w:r>
      <w:r>
        <w:rPr>
          <w:rStyle w:val="851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).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pStyle w:val="842"/>
        <w:numPr>
          <w:ilvl w:val="0"/>
          <w:numId w:val="1"/>
        </w:numPr>
        <w:ind w:left="0" w:right="0" w:firstLine="709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851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820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Style w:val="851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/>
    </w:p>
    <w:p>
      <w:pPr>
        <w:pStyle w:val="842"/>
        <w:numPr>
          <w:ilvl w:val="0"/>
          <w:numId w:val="1"/>
        </w:numPr>
        <w:ind w:left="0" w:right="0" w:firstLine="709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 </w:t>
      </w:r>
      <w:r>
        <w:rPr>
          <w:highlight w:val="none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/>
    </w:p>
    <w:p>
      <w:pPr>
        <w:ind w:left="850" w:right="0" w:firstLine="0"/>
        <w:jc w:val="both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56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94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5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qFormat/>
    <w:uiPriority w:val="11"/>
    <w:rPr>
      <w:sz w:val="24"/>
      <w:szCs w:val="24"/>
    </w:rPr>
    <w:pPr>
      <w:spacing w:after="200" w:before="200"/>
    </w:p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qFormat/>
    <w:uiPriority w:val="29"/>
    <w:rPr>
      <w:i/>
    </w:rPr>
    <w:pPr>
      <w:ind w:left="720" w:right="720"/>
    </w:p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3">
    <w:name w:val="Grid Table 4 - Accent 1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4">
    <w:name w:val="Grid Table 4 - Accent 2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5">
    <w:name w:val="Grid Table 4 - Accent 3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6">
    <w:name w:val="Grid Table 4 - Accent 4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7">
    <w:name w:val="Grid Table 4 - Accent 5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8">
    <w:name w:val="Grid Table 4 - Accent 6"/>
    <w:basedOn w:val="8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9">
    <w:name w:val="Grid Table 5 Dark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0">
    <w:name w:val="Grid Table 5 Dark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2">
    <w:name w:val="Grid Table 5 Dark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3">
    <w:name w:val="Grid Table 5 Dark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4">
    <w:name w:val="Grid Table 5 Dark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5">
    <w:name w:val="Grid Table 5 Dark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6">
    <w:name w:val="Grid Table 6 Colorful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8">
    <w:name w:val="List Table 2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9">
    <w:name w:val="List Table 2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0">
    <w:name w:val="List Table 2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1">
    <w:name w:val="List Table 2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2">
    <w:name w:val="List Table 2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3">
    <w:name w:val="List Table 2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4">
    <w:name w:val="List Table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6">
    <w:name w:val="List Table 6 Colorful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7">
    <w:name w:val="List Table 6 Colorful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8">
    <w:name w:val="List Table 6 Colorful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9">
    <w:name w:val="List Table 6 Colorful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0">
    <w:name w:val="List Table 6 Colorful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1">
    <w:name w:val="List Table 6 Colorful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2">
    <w:name w:val="List Table 7 Colorful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0">
    <w:name w:val="Lined - Accent 1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1">
    <w:name w:val="Lined - Accent 2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2">
    <w:name w:val="Lined - Accent 3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3">
    <w:name w:val="Lined - Accent 4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4">
    <w:name w:val="Lined - Accent 5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5">
    <w:name w:val="Lined - Accent 6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6">
    <w:name w:val="Bordered &amp; Lined - Accent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7">
    <w:name w:val="Bordered &amp; Lined - Accent 1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8">
    <w:name w:val="Bordered &amp; Lined - Accent 2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9">
    <w:name w:val="Bordered &amp; Lined - Accent 3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0">
    <w:name w:val="Bordered &amp; Lined - Accent 4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1">
    <w:name w:val="Bordered &amp; Lined - Accent 5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2">
    <w:name w:val="Bordered &amp; Lined - Accent 6"/>
    <w:basedOn w:val="8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3">
    <w:name w:val="Bordered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4">
    <w:name w:val="Bordered - Accent 1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5">
    <w:name w:val="Bordered - Accent 2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6">
    <w:name w:val="Bordered - Accent 3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7">
    <w:name w:val="Bordered - Accent 4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8">
    <w:name w:val="Bordered - Accent 5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9">
    <w:name w:val="Bordered - Accent 6"/>
    <w:basedOn w:val="8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rPr>
      <w:sz w:val="18"/>
    </w:rPr>
    <w:pPr>
      <w:spacing w:lineRule="auto" w:line="240" w:after="40"/>
    </w:p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rPr>
      <w:sz w:val="20"/>
    </w:rPr>
    <w:pPr>
      <w:spacing w:lineRule="auto" w:line="240" w:after="0"/>
    </w:p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qFormat/>
    <w:uiPriority w:val="1"/>
    <w:pPr>
      <w:spacing w:lineRule="auto" w:line="240" w:after="0"/>
    </w:pPr>
  </w:style>
  <w:style w:type="paragraph" w:styleId="842">
    <w:name w:val="List Paragraph"/>
    <w:basedOn w:val="838"/>
    <w:qFormat/>
    <w:uiPriority w:val="34"/>
    <w:pPr>
      <w:contextualSpacing w:val="true"/>
      <w:ind w:left="720"/>
    </w:pPr>
  </w:style>
  <w:style w:type="character" w:styleId="843" w:default="1">
    <w:name w:val="Default Paragraph Font"/>
    <w:uiPriority w:val="1"/>
    <w:semiHidden/>
    <w:unhideWhenUsed/>
  </w:style>
  <w:style w:type="character" w:styleId="844" w:customStyle="1">
    <w:name w:val="pt-a1-000004"/>
  </w:style>
  <w:style w:type="character" w:styleId="845" w:customStyle="1">
    <w:name w:val="pt-000006"/>
  </w:style>
  <w:style w:type="character" w:styleId="846" w:customStyle="1">
    <w:name w:val="pt-a1-000007"/>
  </w:style>
  <w:style w:type="paragraph" w:styleId="847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8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9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50" w:customStyle="1">
    <w:name w:val="pt-000013"/>
  </w:style>
  <w:style w:type="character" w:styleId="851" w:customStyle="1">
    <w:name w:val="pt-a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2022-02-03T08:25:40Z</dcterms:modified>
</cp:coreProperties>
</file>