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E1DB" w14:textId="77777777" w:rsidR="003A5A8F" w:rsidRDefault="003A5A8F">
      <w:pPr>
        <w:pStyle w:val="ConsPlusTitle"/>
        <w:jc w:val="center"/>
      </w:pPr>
    </w:p>
    <w:p w14:paraId="54A3DC99" w14:textId="77777777" w:rsidR="003A5A8F" w:rsidRDefault="003A5A8F" w:rsidP="003A5A8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D52CD46" w14:textId="77777777" w:rsidR="003A5A8F" w:rsidRDefault="003A5A8F" w:rsidP="003A5A8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9F3BFB3" w14:textId="77777777" w:rsidR="0090788E" w:rsidRDefault="003A5A8F" w:rsidP="003A5A8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5C99BB4A" w14:textId="456334F7" w:rsidR="003A5A8F" w:rsidRDefault="003A5A8F" w:rsidP="003A5A8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0B2DCF4" w14:textId="77777777" w:rsidR="003A5A8F" w:rsidRDefault="003A5A8F" w:rsidP="003A5A8F">
      <w:pPr>
        <w:rPr>
          <w:b/>
          <w:sz w:val="16"/>
          <w:szCs w:val="16"/>
        </w:rPr>
      </w:pPr>
    </w:p>
    <w:p w14:paraId="38D332AA" w14:textId="77777777" w:rsidR="003A5A8F" w:rsidRDefault="003A5A8F" w:rsidP="003A5A8F">
      <w:pPr>
        <w:rPr>
          <w:b/>
          <w:sz w:val="16"/>
          <w:szCs w:val="16"/>
        </w:rPr>
      </w:pPr>
    </w:p>
    <w:p w14:paraId="194B7C2D" w14:textId="77777777" w:rsidR="003A5A8F" w:rsidRDefault="003A5A8F" w:rsidP="003A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FE78AB5" w14:textId="77777777" w:rsidR="003A5A8F" w:rsidRDefault="003A5A8F" w:rsidP="003A5A8F">
      <w:pPr>
        <w:jc w:val="center"/>
        <w:rPr>
          <w:sz w:val="28"/>
          <w:szCs w:val="28"/>
        </w:rPr>
      </w:pPr>
    </w:p>
    <w:p w14:paraId="70C14314" w14:textId="002A61DB" w:rsidR="003A5A8F" w:rsidRPr="009523EB" w:rsidRDefault="003A5A8F" w:rsidP="003A5A8F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«</w:t>
      </w:r>
      <w:r w:rsidR="00953452" w:rsidRPr="00953452">
        <w:rPr>
          <w:sz w:val="28"/>
          <w:szCs w:val="28"/>
          <w:u w:val="single"/>
        </w:rPr>
        <w:t xml:space="preserve"> </w:t>
      </w:r>
      <w:r w:rsidR="0009733F">
        <w:rPr>
          <w:sz w:val="28"/>
          <w:szCs w:val="28"/>
          <w:u w:val="single"/>
        </w:rPr>
        <w:t xml:space="preserve"> </w:t>
      </w:r>
      <w:proofErr w:type="gramEnd"/>
      <w:r w:rsidR="0009733F">
        <w:rPr>
          <w:sz w:val="28"/>
          <w:szCs w:val="28"/>
          <w:u w:val="single"/>
        </w:rPr>
        <w:t xml:space="preserve"> </w:t>
      </w:r>
      <w:r w:rsidR="009523EB">
        <w:rPr>
          <w:sz w:val="28"/>
          <w:szCs w:val="28"/>
          <w:u w:val="single"/>
        </w:rPr>
        <w:t>02</w:t>
      </w:r>
      <w:r w:rsidR="0009733F">
        <w:rPr>
          <w:sz w:val="28"/>
          <w:szCs w:val="28"/>
          <w:u w:val="single"/>
        </w:rPr>
        <w:t xml:space="preserve">  </w:t>
      </w:r>
      <w:r w:rsidR="00953452" w:rsidRPr="0095345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953452">
        <w:rPr>
          <w:sz w:val="28"/>
          <w:szCs w:val="28"/>
        </w:rPr>
        <w:t xml:space="preserve"> </w:t>
      </w:r>
      <w:r w:rsidR="00953452" w:rsidRPr="00953452">
        <w:rPr>
          <w:sz w:val="28"/>
          <w:szCs w:val="28"/>
          <w:u w:val="single"/>
        </w:rPr>
        <w:t xml:space="preserve">  </w:t>
      </w:r>
      <w:r w:rsidR="0009733F">
        <w:rPr>
          <w:sz w:val="28"/>
          <w:szCs w:val="28"/>
          <w:u w:val="single"/>
        </w:rPr>
        <w:t xml:space="preserve">  </w:t>
      </w:r>
      <w:r w:rsidR="009523EB">
        <w:rPr>
          <w:sz w:val="28"/>
          <w:szCs w:val="28"/>
          <w:u w:val="single"/>
        </w:rPr>
        <w:t>марта</w:t>
      </w:r>
      <w:r w:rsidR="0009733F">
        <w:rPr>
          <w:sz w:val="28"/>
          <w:szCs w:val="28"/>
          <w:u w:val="single"/>
        </w:rPr>
        <w:t xml:space="preserve">   </w:t>
      </w:r>
      <w:r w:rsidR="00953452" w:rsidRPr="0095345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</w:t>
      </w:r>
      <w:r w:rsidR="0031646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№</w:t>
      </w:r>
      <w:r w:rsidR="00953452" w:rsidRPr="009523EB">
        <w:rPr>
          <w:sz w:val="28"/>
          <w:szCs w:val="28"/>
          <w:u w:val="single"/>
        </w:rPr>
        <w:t xml:space="preserve"> </w:t>
      </w:r>
      <w:r w:rsidR="009523EB" w:rsidRPr="009523EB">
        <w:rPr>
          <w:sz w:val="28"/>
          <w:szCs w:val="28"/>
          <w:u w:val="single"/>
        </w:rPr>
        <w:t>155</w:t>
      </w:r>
    </w:p>
    <w:p w14:paraId="413743E3" w14:textId="77777777" w:rsidR="003A5A8F" w:rsidRDefault="003A5A8F" w:rsidP="003A5A8F">
      <w:pPr>
        <w:ind w:left="360"/>
        <w:jc w:val="both"/>
        <w:rPr>
          <w:sz w:val="16"/>
          <w:szCs w:val="16"/>
        </w:rPr>
      </w:pPr>
    </w:p>
    <w:p w14:paraId="00342B6B" w14:textId="6CABF248" w:rsidR="003A5A8F" w:rsidRPr="001D7CE7" w:rsidRDefault="001D7CE7" w:rsidP="001D7CE7">
      <w:pPr>
        <w:jc w:val="center"/>
        <w:rPr>
          <w:sz w:val="28"/>
          <w:szCs w:val="28"/>
        </w:rPr>
      </w:pPr>
      <w:r w:rsidRPr="001D7CE7">
        <w:rPr>
          <w:sz w:val="28"/>
          <w:szCs w:val="28"/>
        </w:rPr>
        <w:t>г. Светлогорск</w:t>
      </w:r>
    </w:p>
    <w:p w14:paraId="114B5D85" w14:textId="77777777" w:rsidR="001D7CE7" w:rsidRPr="001D7CE7" w:rsidRDefault="001D7CE7" w:rsidP="001D7CE7">
      <w:pPr>
        <w:jc w:val="center"/>
      </w:pPr>
    </w:p>
    <w:p w14:paraId="40ACDE2B" w14:textId="3638D796" w:rsidR="00070EF4" w:rsidRDefault="0009733F" w:rsidP="003A5A8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</w:t>
      </w:r>
      <w:r w:rsidR="000B4E32">
        <w:rPr>
          <w:b/>
          <w:sz w:val="28"/>
          <w:szCs w:val="28"/>
        </w:rPr>
        <w:t>дении Порядка составления проекта бюджета                                  м</w:t>
      </w:r>
      <w:r w:rsidR="003A5A8F">
        <w:rPr>
          <w:b/>
          <w:sz w:val="28"/>
          <w:szCs w:val="28"/>
        </w:rPr>
        <w:t>униципального</w:t>
      </w:r>
      <w:r w:rsidR="000B4E32">
        <w:rPr>
          <w:b/>
          <w:sz w:val="28"/>
          <w:szCs w:val="28"/>
        </w:rPr>
        <w:t xml:space="preserve"> </w:t>
      </w:r>
      <w:r w:rsidR="003A5A8F">
        <w:rPr>
          <w:b/>
          <w:sz w:val="28"/>
          <w:szCs w:val="28"/>
        </w:rPr>
        <w:t xml:space="preserve">образования «Светлогорский городской округ» </w:t>
      </w:r>
    </w:p>
    <w:p w14:paraId="6D31A31E" w14:textId="77777777" w:rsidR="003A5A8F" w:rsidRPr="0031646B" w:rsidRDefault="003A5A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F6AE2B6" w14:textId="34E6FCB4" w:rsidR="0031646B" w:rsidRDefault="003A5A8F" w:rsidP="0031646B">
      <w:pPr>
        <w:ind w:firstLine="709"/>
        <w:jc w:val="both"/>
        <w:rPr>
          <w:sz w:val="28"/>
          <w:szCs w:val="28"/>
        </w:rPr>
      </w:pPr>
      <w:r w:rsidRPr="0031646B">
        <w:rPr>
          <w:sz w:val="28"/>
          <w:szCs w:val="28"/>
        </w:rPr>
        <w:t>В соответствии с</w:t>
      </w:r>
      <w:r w:rsidR="000B4E32">
        <w:rPr>
          <w:sz w:val="28"/>
          <w:szCs w:val="28"/>
        </w:rPr>
        <w:t xml:space="preserve"> требованиями статьи 184</w:t>
      </w:r>
      <w:r w:rsidRPr="0031646B">
        <w:rPr>
          <w:sz w:val="28"/>
          <w:szCs w:val="28"/>
        </w:rPr>
        <w:t xml:space="preserve"> Бюджетного кодекса Российской Федерации</w:t>
      </w:r>
      <w:r w:rsidR="0031646B" w:rsidRPr="0031646B">
        <w:rPr>
          <w:sz w:val="28"/>
          <w:szCs w:val="28"/>
        </w:rPr>
        <w:t xml:space="preserve">, </w:t>
      </w:r>
      <w:r w:rsidR="0031646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</w:t>
      </w:r>
      <w:r w:rsidR="001D7CE7">
        <w:rPr>
          <w:sz w:val="28"/>
          <w:szCs w:val="28"/>
        </w:rPr>
        <w:t>муниципального образования</w:t>
      </w:r>
      <w:r w:rsidR="0031646B">
        <w:rPr>
          <w:sz w:val="28"/>
          <w:szCs w:val="28"/>
        </w:rPr>
        <w:t xml:space="preserve"> «Светлогорский городской округ»</w:t>
      </w:r>
    </w:p>
    <w:p w14:paraId="1DCE44D8" w14:textId="22883E9B" w:rsidR="003A5A8F" w:rsidRDefault="003A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CE6D94" w14:textId="77777777" w:rsidR="0031646B" w:rsidRDefault="0031646B" w:rsidP="0031646B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03ADC78D" w14:textId="77777777" w:rsidR="0031646B" w:rsidRPr="0031646B" w:rsidRDefault="00316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33D190" w14:textId="77D20855" w:rsidR="003A5A8F" w:rsidRDefault="003A5A8F" w:rsidP="008665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E4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2C5E4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C5E4B">
        <w:rPr>
          <w:rFonts w:ascii="Times New Roman" w:hAnsi="Times New Roman" w:cs="Times New Roman"/>
          <w:sz w:val="28"/>
          <w:szCs w:val="28"/>
        </w:rPr>
        <w:t xml:space="preserve"> </w:t>
      </w:r>
      <w:r w:rsidR="000B4E32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 w:rsidR="002C5E4B" w:rsidRPr="002C5E4B">
        <w:rPr>
          <w:rFonts w:ascii="Times New Roman" w:hAnsi="Times New Roman" w:cs="Times New Roman"/>
          <w:sz w:val="28"/>
          <w:szCs w:val="28"/>
        </w:rPr>
        <w:t>бюджет</w:t>
      </w:r>
      <w:r w:rsidR="000B4E32">
        <w:rPr>
          <w:rFonts w:ascii="Times New Roman" w:hAnsi="Times New Roman" w:cs="Times New Roman"/>
          <w:sz w:val="28"/>
          <w:szCs w:val="28"/>
        </w:rPr>
        <w:t>а</w:t>
      </w:r>
      <w:r w:rsidR="002C5E4B" w:rsidRPr="002C5E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2C5E4B">
        <w:rPr>
          <w:rFonts w:ascii="Times New Roman" w:hAnsi="Times New Roman" w:cs="Times New Roman"/>
          <w:sz w:val="28"/>
          <w:szCs w:val="28"/>
        </w:rPr>
        <w:t xml:space="preserve"> (далее - Порядок) согласно приложению к настоящему </w:t>
      </w:r>
      <w:r w:rsidR="002C5E4B" w:rsidRPr="002C5E4B">
        <w:rPr>
          <w:rFonts w:ascii="Times New Roman" w:hAnsi="Times New Roman" w:cs="Times New Roman"/>
          <w:sz w:val="28"/>
          <w:szCs w:val="28"/>
        </w:rPr>
        <w:t>постановлению</w:t>
      </w:r>
      <w:r w:rsidRPr="002C5E4B">
        <w:rPr>
          <w:rFonts w:ascii="Times New Roman" w:hAnsi="Times New Roman" w:cs="Times New Roman"/>
          <w:sz w:val="28"/>
          <w:szCs w:val="28"/>
        </w:rPr>
        <w:t>.</w:t>
      </w:r>
    </w:p>
    <w:p w14:paraId="6E7DE1DF" w14:textId="77777777" w:rsidR="0031646B" w:rsidRDefault="0031646B" w:rsidP="0031646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17FB328B" w14:textId="521DA2C9" w:rsidR="003A5A8F" w:rsidRPr="002C5E4B" w:rsidRDefault="0031646B" w:rsidP="0031646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A8F" w:rsidRPr="002C5E4B">
        <w:rPr>
          <w:sz w:val="28"/>
          <w:szCs w:val="28"/>
        </w:rPr>
        <w:t xml:space="preserve">. </w:t>
      </w:r>
      <w:r w:rsidR="001D7CE7">
        <w:rPr>
          <w:sz w:val="28"/>
          <w:szCs w:val="28"/>
        </w:rPr>
        <w:t>Постановление вступает в силу</w:t>
      </w:r>
      <w:r w:rsidR="001D7CE7" w:rsidRPr="001D7CE7">
        <w:rPr>
          <w:sz w:val="28"/>
          <w:szCs w:val="28"/>
        </w:rPr>
        <w:t xml:space="preserve"> </w:t>
      </w:r>
      <w:proofErr w:type="gramStart"/>
      <w:r w:rsidR="001D7CE7" w:rsidRPr="004D701D">
        <w:rPr>
          <w:sz w:val="28"/>
          <w:szCs w:val="28"/>
        </w:rPr>
        <w:t xml:space="preserve">с </w:t>
      </w:r>
      <w:r w:rsidR="001D7CE7">
        <w:rPr>
          <w:sz w:val="28"/>
          <w:szCs w:val="28"/>
        </w:rPr>
        <w:t xml:space="preserve"> момента</w:t>
      </w:r>
      <w:proofErr w:type="gramEnd"/>
      <w:r w:rsidR="001D7CE7">
        <w:rPr>
          <w:sz w:val="28"/>
          <w:szCs w:val="28"/>
        </w:rPr>
        <w:t xml:space="preserve"> подписания.</w:t>
      </w:r>
    </w:p>
    <w:p w14:paraId="1ACEBEF0" w14:textId="54322518" w:rsidR="003A5A8F" w:rsidRDefault="003A5A8F">
      <w:pPr>
        <w:pStyle w:val="ConsPlusNormal"/>
        <w:jc w:val="both"/>
      </w:pPr>
    </w:p>
    <w:p w14:paraId="22C5F10C" w14:textId="1EBD1F58" w:rsidR="001D7CE7" w:rsidRDefault="001D7CE7">
      <w:pPr>
        <w:pStyle w:val="ConsPlusNormal"/>
        <w:jc w:val="both"/>
      </w:pPr>
    </w:p>
    <w:p w14:paraId="58683F78" w14:textId="77777777" w:rsidR="001D7CE7" w:rsidRDefault="001D7CE7">
      <w:pPr>
        <w:pStyle w:val="ConsPlusNormal"/>
        <w:jc w:val="both"/>
      </w:pPr>
    </w:p>
    <w:p w14:paraId="6CF15B98" w14:textId="6E4F1854" w:rsidR="0031646B" w:rsidRDefault="0031646B">
      <w:pPr>
        <w:pStyle w:val="ConsPlusNormal"/>
        <w:jc w:val="both"/>
      </w:pPr>
    </w:p>
    <w:p w14:paraId="6B653324" w14:textId="2467EA2F" w:rsidR="0031646B" w:rsidRDefault="0031646B">
      <w:pPr>
        <w:pStyle w:val="ConsPlusNormal"/>
        <w:jc w:val="both"/>
      </w:pPr>
    </w:p>
    <w:p w14:paraId="74780E11" w14:textId="77777777" w:rsidR="0031646B" w:rsidRDefault="0031646B" w:rsidP="0031646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CC091F8" w14:textId="77777777" w:rsidR="0031646B" w:rsidRDefault="0031646B" w:rsidP="0031646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2ACB13C" w14:textId="77777777" w:rsidR="0031646B" w:rsidRDefault="0031646B" w:rsidP="0031646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                                    В.В. Бондаренко</w:t>
      </w:r>
    </w:p>
    <w:p w14:paraId="418FDB86" w14:textId="46E58456" w:rsidR="0031646B" w:rsidRDefault="0031646B">
      <w:pPr>
        <w:pStyle w:val="ConsPlusNormal"/>
        <w:jc w:val="both"/>
      </w:pPr>
    </w:p>
    <w:p w14:paraId="6E12BD38" w14:textId="5FF1EF59" w:rsidR="0031646B" w:rsidRDefault="0031646B">
      <w:pPr>
        <w:pStyle w:val="ConsPlusNormal"/>
        <w:jc w:val="both"/>
      </w:pPr>
    </w:p>
    <w:p w14:paraId="5F7819A6" w14:textId="0D334ED8" w:rsidR="0031646B" w:rsidRDefault="0031646B">
      <w:pPr>
        <w:pStyle w:val="ConsPlusNormal"/>
        <w:jc w:val="both"/>
      </w:pPr>
    </w:p>
    <w:p w14:paraId="0464670D" w14:textId="39B3DBB6" w:rsidR="00784365" w:rsidRDefault="00784365">
      <w:pPr>
        <w:pStyle w:val="ConsPlusNormal"/>
        <w:jc w:val="both"/>
      </w:pPr>
    </w:p>
    <w:p w14:paraId="4400B759" w14:textId="6904DD2E" w:rsidR="001D7CE7" w:rsidRDefault="001D7CE7">
      <w:pPr>
        <w:pStyle w:val="ConsPlusNormal"/>
        <w:jc w:val="both"/>
      </w:pPr>
    </w:p>
    <w:p w14:paraId="7AA62AB0" w14:textId="77777777" w:rsidR="006A7E6D" w:rsidRDefault="006A7E6D">
      <w:pPr>
        <w:pStyle w:val="ConsPlusNormal"/>
        <w:jc w:val="both"/>
      </w:pPr>
    </w:p>
    <w:p w14:paraId="4C221FFE" w14:textId="77777777" w:rsidR="001D7CE7" w:rsidRDefault="001D7CE7">
      <w:pPr>
        <w:pStyle w:val="ConsPlusNormal"/>
        <w:jc w:val="both"/>
      </w:pPr>
    </w:p>
    <w:p w14:paraId="59BE9D9E" w14:textId="00B1A84B" w:rsidR="0031646B" w:rsidRDefault="0031646B">
      <w:pPr>
        <w:pStyle w:val="ConsPlusNormal"/>
        <w:jc w:val="both"/>
      </w:pPr>
    </w:p>
    <w:p w14:paraId="78AEA82F" w14:textId="77777777" w:rsidR="003A5A8F" w:rsidRPr="006A7E6D" w:rsidRDefault="003A5A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7E6D">
        <w:rPr>
          <w:rFonts w:ascii="Times New Roman" w:hAnsi="Times New Roman" w:cs="Times New Roman"/>
          <w:sz w:val="24"/>
          <w:szCs w:val="24"/>
        </w:rPr>
        <w:t>Приложение</w:t>
      </w:r>
    </w:p>
    <w:p w14:paraId="4E323BCE" w14:textId="7F7583B5" w:rsidR="0031646B" w:rsidRPr="006A7E6D" w:rsidRDefault="003A5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E6D">
        <w:rPr>
          <w:rFonts w:ascii="Times New Roman" w:hAnsi="Times New Roman" w:cs="Times New Roman"/>
          <w:sz w:val="24"/>
          <w:szCs w:val="24"/>
        </w:rPr>
        <w:t xml:space="preserve">к </w:t>
      </w:r>
      <w:r w:rsidR="0031646B" w:rsidRPr="006A7E6D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муниципального </w:t>
      </w:r>
    </w:p>
    <w:p w14:paraId="5F77044B" w14:textId="3D38FC42" w:rsidR="003A5A8F" w:rsidRPr="006A7E6D" w:rsidRDefault="003164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E6D">
        <w:rPr>
          <w:rFonts w:ascii="Times New Roman" w:hAnsi="Times New Roman" w:cs="Times New Roman"/>
          <w:sz w:val="24"/>
          <w:szCs w:val="24"/>
        </w:rPr>
        <w:t>образования «Светлогорский городской округ»</w:t>
      </w:r>
    </w:p>
    <w:p w14:paraId="54F6D8C9" w14:textId="58CD50E9" w:rsidR="003A5A8F" w:rsidRPr="006A7E6D" w:rsidRDefault="003A5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7E6D">
        <w:rPr>
          <w:rFonts w:ascii="Times New Roman" w:hAnsi="Times New Roman" w:cs="Times New Roman"/>
          <w:sz w:val="24"/>
          <w:szCs w:val="24"/>
        </w:rPr>
        <w:t>от</w:t>
      </w:r>
      <w:r w:rsidR="0031646B" w:rsidRPr="006A7E6D">
        <w:rPr>
          <w:rFonts w:ascii="Times New Roman" w:hAnsi="Times New Roman" w:cs="Times New Roman"/>
          <w:sz w:val="24"/>
          <w:szCs w:val="24"/>
        </w:rPr>
        <w:t xml:space="preserve"> </w:t>
      </w:r>
      <w:r w:rsidR="0031646B" w:rsidRPr="006A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23EB">
        <w:rPr>
          <w:rFonts w:ascii="Times New Roman" w:hAnsi="Times New Roman" w:cs="Times New Roman"/>
          <w:sz w:val="24"/>
          <w:szCs w:val="24"/>
          <w:u w:val="single"/>
        </w:rPr>
        <w:t>02</w:t>
      </w:r>
      <w:proofErr w:type="gramEnd"/>
      <w:r w:rsidR="0031646B" w:rsidRPr="006A7E6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1646B" w:rsidRPr="006A7E6D">
        <w:rPr>
          <w:rFonts w:ascii="Times New Roman" w:hAnsi="Times New Roman" w:cs="Times New Roman"/>
          <w:sz w:val="24"/>
          <w:szCs w:val="24"/>
        </w:rPr>
        <w:t xml:space="preserve"> </w:t>
      </w:r>
      <w:r w:rsidR="0031646B" w:rsidRPr="006A7E6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B4E32" w:rsidRPr="006A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23EB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31646B" w:rsidRPr="006A7E6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31646B" w:rsidRPr="006A7E6D">
        <w:rPr>
          <w:rFonts w:ascii="Times New Roman" w:hAnsi="Times New Roman" w:cs="Times New Roman"/>
          <w:sz w:val="24"/>
          <w:szCs w:val="24"/>
        </w:rPr>
        <w:t xml:space="preserve"> </w:t>
      </w:r>
      <w:r w:rsidRPr="006A7E6D">
        <w:rPr>
          <w:rFonts w:ascii="Times New Roman" w:hAnsi="Times New Roman" w:cs="Times New Roman"/>
          <w:sz w:val="24"/>
          <w:szCs w:val="24"/>
        </w:rPr>
        <w:t>20</w:t>
      </w:r>
      <w:r w:rsidR="0031646B" w:rsidRPr="006A7E6D">
        <w:rPr>
          <w:rFonts w:ascii="Times New Roman" w:hAnsi="Times New Roman" w:cs="Times New Roman"/>
          <w:sz w:val="24"/>
          <w:szCs w:val="24"/>
        </w:rPr>
        <w:t>20</w:t>
      </w:r>
      <w:r w:rsidRPr="006A7E6D">
        <w:rPr>
          <w:rFonts w:ascii="Times New Roman" w:hAnsi="Times New Roman" w:cs="Times New Roman"/>
          <w:sz w:val="24"/>
          <w:szCs w:val="24"/>
        </w:rPr>
        <w:t xml:space="preserve"> </w:t>
      </w:r>
      <w:r w:rsidR="0090788E" w:rsidRPr="006A7E6D">
        <w:rPr>
          <w:rFonts w:ascii="Times New Roman" w:hAnsi="Times New Roman" w:cs="Times New Roman"/>
          <w:sz w:val="24"/>
          <w:szCs w:val="24"/>
        </w:rPr>
        <w:t>№</w:t>
      </w:r>
      <w:r w:rsidRPr="009523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23EB" w:rsidRPr="009523EB">
        <w:rPr>
          <w:rFonts w:ascii="Times New Roman" w:hAnsi="Times New Roman" w:cs="Times New Roman"/>
          <w:sz w:val="24"/>
          <w:szCs w:val="24"/>
          <w:u w:val="single"/>
        </w:rPr>
        <w:t>155</w:t>
      </w:r>
    </w:p>
    <w:p w14:paraId="1CE767DF" w14:textId="77777777" w:rsidR="003A5A8F" w:rsidRPr="0031646B" w:rsidRDefault="003A5A8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488891C" w14:textId="4FF77B47" w:rsidR="003A5A8F" w:rsidRPr="0031646B" w:rsidRDefault="003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31646B">
        <w:rPr>
          <w:rFonts w:ascii="Times New Roman" w:hAnsi="Times New Roman" w:cs="Times New Roman"/>
          <w:sz w:val="24"/>
          <w:szCs w:val="24"/>
        </w:rPr>
        <w:t>ПОРЯД</w:t>
      </w:r>
      <w:r w:rsidR="000B4E32">
        <w:rPr>
          <w:rFonts w:ascii="Times New Roman" w:hAnsi="Times New Roman" w:cs="Times New Roman"/>
          <w:sz w:val="24"/>
          <w:szCs w:val="24"/>
        </w:rPr>
        <w:t>ОК</w:t>
      </w:r>
    </w:p>
    <w:p w14:paraId="006CB7A5" w14:textId="4AE056E7" w:rsidR="003A5A8F" w:rsidRPr="0031646B" w:rsidRDefault="000B4E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ПРОЕКТА Б</w:t>
      </w:r>
      <w:r w:rsidR="0031646B">
        <w:rPr>
          <w:rFonts w:ascii="Times New Roman" w:hAnsi="Times New Roman" w:cs="Times New Roman"/>
          <w:sz w:val="24"/>
          <w:szCs w:val="24"/>
        </w:rPr>
        <w:t>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1646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A8F" w:rsidRPr="003164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DE1E5" w14:textId="77777777" w:rsidR="003A5A8F" w:rsidRDefault="003A5A8F">
      <w:pPr>
        <w:spacing w:after="1"/>
      </w:pPr>
    </w:p>
    <w:p w14:paraId="553FE63A" w14:textId="77777777" w:rsidR="003A5A8F" w:rsidRDefault="003A5A8F">
      <w:pPr>
        <w:pStyle w:val="ConsPlusNormal"/>
        <w:jc w:val="both"/>
      </w:pPr>
    </w:p>
    <w:p w14:paraId="0F7014B7" w14:textId="4D0356EB" w:rsidR="003A5A8F" w:rsidRPr="00784365" w:rsidRDefault="003A5A8F" w:rsidP="00DD1ACA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8436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6FC6392A" w14:textId="77777777" w:rsidR="000B4E32" w:rsidRDefault="000B4E32" w:rsidP="000B4E32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 xml:space="preserve">1.1. Настоящий Порядок составления проекта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бюджета муниципального образования «Светлогорский городской округ»</w:t>
      </w: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(далее-Порядок) разработан в соответствии с требованиями статьи 184 Бюджетного кодекса Российской Федерации</w:t>
      </w:r>
    </w:p>
    <w:p w14:paraId="52393CB4" w14:textId="274928D2" w:rsidR="000B4E32" w:rsidRDefault="000B4E32" w:rsidP="000B4E32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 xml:space="preserve">1.2. Порядок регламентирует процедуру составления проекта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бюджета муниципального образования «Светлогорский городской округ» </w:t>
      </w: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>(далее –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 </w:t>
      </w:r>
      <w:r w:rsidR="00980FD2">
        <w:rPr>
          <w:rFonts w:ascii="Times New Roman" w:hAnsi="Times New Roman" w:cs="Times New Roman"/>
          <w:b w:val="0"/>
          <w:bCs/>
          <w:sz w:val="28"/>
          <w:szCs w:val="28"/>
        </w:rPr>
        <w:t>городского</w:t>
      </w:r>
      <w:r w:rsidR="004F395A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обеспечения системности планирования и установления единого порядка формирования основных параметров бюджета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городско</w:t>
      </w:r>
      <w:r w:rsidR="003E6840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</w:t>
      </w:r>
      <w:r w:rsidR="003E6840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14:paraId="79883EEB" w14:textId="026886D8" w:rsidR="004F395A" w:rsidRDefault="000B4E32" w:rsidP="000B4E32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 xml:space="preserve">1.3. Проект бюджета </w:t>
      </w:r>
      <w:r w:rsidR="003E6840">
        <w:rPr>
          <w:rFonts w:ascii="Times New Roman" w:hAnsi="Times New Roman" w:cs="Times New Roman"/>
          <w:b w:val="0"/>
          <w:bCs/>
          <w:sz w:val="28"/>
          <w:szCs w:val="28"/>
        </w:rPr>
        <w:t>городского</w:t>
      </w:r>
      <w:r w:rsidR="004F395A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 </w:t>
      </w: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>составляется в соответствии с действующим на момент начала разработки проекта налоговым и бюджетным законодательством.</w:t>
      </w:r>
    </w:p>
    <w:p w14:paraId="126DDD62" w14:textId="7AE2A9F0" w:rsidR="00B46C8F" w:rsidRDefault="000B4E32" w:rsidP="000B4E32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</w:t>
      </w:r>
      <w:bookmarkStart w:id="1" w:name="_GoBack"/>
      <w:bookmarkEnd w:id="1"/>
      <w:r w:rsidRPr="000B4E32">
        <w:rPr>
          <w:rFonts w:ascii="Times New Roman" w:hAnsi="Times New Roman" w:cs="Times New Roman"/>
          <w:b w:val="0"/>
          <w:bCs/>
          <w:sz w:val="28"/>
          <w:szCs w:val="28"/>
        </w:rPr>
        <w:t>и.</w:t>
      </w:r>
    </w:p>
    <w:p w14:paraId="649E6408" w14:textId="2B706CE3" w:rsidR="004F395A" w:rsidRDefault="004F395A" w:rsidP="000B4E32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34E73D1" w14:textId="457C237B" w:rsidR="004F395A" w:rsidRDefault="004F395A" w:rsidP="00DD1ACA">
      <w:pPr>
        <w:pStyle w:val="ConsPlusTitle"/>
        <w:ind w:left="360" w:firstLine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395A">
        <w:rPr>
          <w:rFonts w:ascii="Times New Roman" w:hAnsi="Times New Roman" w:cs="Times New Roman"/>
          <w:sz w:val="28"/>
          <w:szCs w:val="28"/>
        </w:rPr>
        <w:t>2.Сведения, необходимые для составления проекта бюджета</w:t>
      </w:r>
    </w:p>
    <w:p w14:paraId="4FC7A5EF" w14:textId="5E32B1E2" w:rsidR="004F395A" w:rsidRDefault="004F395A" w:rsidP="00DD1ACA">
      <w:pPr>
        <w:pStyle w:val="ConsPlusTitle"/>
        <w:ind w:firstLine="720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395A">
        <w:rPr>
          <w:rFonts w:ascii="Times New Roman" w:hAnsi="Times New Roman" w:cs="Times New Roman"/>
          <w:b w:val="0"/>
          <w:bCs/>
          <w:sz w:val="28"/>
          <w:szCs w:val="28"/>
        </w:rPr>
        <w:t>Составление проекта бюджета</w:t>
      </w:r>
      <w:r w:rsidR="003E68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округа</w:t>
      </w:r>
      <w:r w:rsidRPr="004F395A">
        <w:rPr>
          <w:rFonts w:ascii="Times New Roman" w:hAnsi="Times New Roman" w:cs="Times New Roman"/>
          <w:b w:val="0"/>
          <w:bCs/>
          <w:sz w:val="28"/>
          <w:szCs w:val="28"/>
        </w:rPr>
        <w:t xml:space="preserve"> основывается на:</w:t>
      </w:r>
    </w:p>
    <w:p w14:paraId="5BC0B67A" w14:textId="77777777" w:rsidR="004F395A" w:rsidRDefault="004F395A" w:rsidP="000B4E32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395A">
        <w:rPr>
          <w:rFonts w:ascii="Times New Roman" w:hAnsi="Times New Roman" w:cs="Times New Roman"/>
          <w:b w:val="0"/>
          <w:bCs/>
          <w:sz w:val="28"/>
          <w:szCs w:val="28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2FD32E4A" w14:textId="2CC1D81D" w:rsidR="004F395A" w:rsidRDefault="004F395A" w:rsidP="000B4E32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395A">
        <w:rPr>
          <w:rFonts w:ascii="Times New Roman" w:hAnsi="Times New Roman" w:cs="Times New Roman"/>
          <w:b w:val="0"/>
          <w:bCs/>
          <w:sz w:val="28"/>
          <w:szCs w:val="28"/>
        </w:rPr>
        <w:t>-основных направлениях бюджетной, налоговой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F395A">
        <w:rPr>
          <w:rFonts w:ascii="Times New Roman" w:hAnsi="Times New Roman" w:cs="Times New Roman"/>
          <w:b w:val="0"/>
          <w:bCs/>
          <w:sz w:val="28"/>
          <w:szCs w:val="28"/>
        </w:rPr>
        <w:t>политики Российской Федерации;</w:t>
      </w:r>
    </w:p>
    <w:p w14:paraId="48E69161" w14:textId="77777777" w:rsidR="004F395A" w:rsidRDefault="004F395A" w:rsidP="000B4E32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395A">
        <w:rPr>
          <w:rFonts w:ascii="Times New Roman" w:hAnsi="Times New Roman" w:cs="Times New Roman"/>
          <w:b w:val="0"/>
          <w:bCs/>
          <w:sz w:val="28"/>
          <w:szCs w:val="28"/>
        </w:rPr>
        <w:t>-прогнозе социально-экономического развития муниципального образования;</w:t>
      </w:r>
    </w:p>
    <w:p w14:paraId="2B5DA6FB" w14:textId="77777777" w:rsidR="004F395A" w:rsidRDefault="004F395A" w:rsidP="004F395A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395A">
        <w:rPr>
          <w:rFonts w:ascii="Times New Roman" w:hAnsi="Times New Roman" w:cs="Times New Roman"/>
          <w:b w:val="0"/>
          <w:bCs/>
          <w:sz w:val="28"/>
          <w:szCs w:val="28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14:paraId="130DFC1C" w14:textId="5ADEB3F9" w:rsidR="004F395A" w:rsidRDefault="004F395A" w:rsidP="004F395A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395A">
        <w:rPr>
          <w:rFonts w:ascii="Times New Roman" w:hAnsi="Times New Roman" w:cs="Times New Roman"/>
          <w:b w:val="0"/>
          <w:bCs/>
          <w:sz w:val="28"/>
          <w:szCs w:val="28"/>
        </w:rPr>
        <w:t>-муниципальных программах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F395A">
        <w:rPr>
          <w:rFonts w:ascii="Times New Roman" w:hAnsi="Times New Roman" w:cs="Times New Roman"/>
          <w:b w:val="0"/>
          <w:bCs/>
          <w:sz w:val="28"/>
          <w:szCs w:val="28"/>
        </w:rPr>
        <w:t>(проектах муниципальных программ, проектах изменений указанных программ)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2CAB3EDC" w14:textId="0FAE475D" w:rsidR="004F395A" w:rsidRDefault="004F395A" w:rsidP="004F395A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BF4832B" w14:textId="5E58CDEE" w:rsidR="00DD1ACA" w:rsidRDefault="00DD1ACA" w:rsidP="004F395A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E0FDFA" w14:textId="77777777" w:rsidR="00DD1ACA" w:rsidRDefault="00DD1ACA" w:rsidP="004F395A">
      <w:pPr>
        <w:pStyle w:val="ConsPlusTitle"/>
        <w:ind w:left="360" w:firstLine="36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7203BC2" w14:textId="05AC3588" w:rsidR="004F395A" w:rsidRDefault="004F395A" w:rsidP="00DD1ACA">
      <w:pPr>
        <w:pStyle w:val="ConsPlusTitle"/>
        <w:ind w:left="360" w:firstLine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395A">
        <w:rPr>
          <w:rFonts w:ascii="Times New Roman" w:hAnsi="Times New Roman" w:cs="Times New Roman"/>
          <w:sz w:val="28"/>
          <w:szCs w:val="28"/>
        </w:rPr>
        <w:t>3.Составление проекта бюджета</w:t>
      </w:r>
    </w:p>
    <w:p w14:paraId="4720A840" w14:textId="7B3AC0DD" w:rsidR="004F395A" w:rsidRPr="00DD1ACA" w:rsidRDefault="00DD1ACA" w:rsidP="004F395A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ACA">
        <w:rPr>
          <w:rFonts w:ascii="Times New Roman" w:hAnsi="Times New Roman"/>
          <w:b/>
          <w:sz w:val="28"/>
          <w:szCs w:val="28"/>
        </w:rPr>
        <w:t>3.1</w:t>
      </w:r>
      <w:r w:rsidR="004F395A" w:rsidRPr="00DD1ACA">
        <w:rPr>
          <w:rFonts w:ascii="Times New Roman" w:hAnsi="Times New Roman"/>
          <w:b/>
          <w:sz w:val="28"/>
          <w:szCs w:val="28"/>
        </w:rPr>
        <w:t>.</w:t>
      </w:r>
      <w:r w:rsidRPr="00DD1ACA">
        <w:rPr>
          <w:rFonts w:ascii="Times New Roman" w:hAnsi="Times New Roman"/>
          <w:b/>
          <w:sz w:val="28"/>
          <w:szCs w:val="28"/>
        </w:rPr>
        <w:t xml:space="preserve"> </w:t>
      </w:r>
      <w:r w:rsidR="004F395A" w:rsidRPr="00DD1ACA">
        <w:rPr>
          <w:rFonts w:ascii="Times New Roman" w:hAnsi="Times New Roman"/>
          <w:b/>
          <w:sz w:val="28"/>
          <w:szCs w:val="28"/>
        </w:rPr>
        <w:t xml:space="preserve"> Прогноз социально-экономического развития городского округа</w:t>
      </w:r>
    </w:p>
    <w:p w14:paraId="4AE37365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1. Прогноз социально-экономического развития разрабатывается на период не менее трех лет в порядке, установленном администрацией.</w:t>
      </w:r>
    </w:p>
    <w:p w14:paraId="12CEC2DC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2. Прогноз социально-экономического развития одобряется администрацией одновременно с принятием решения о внесении проекта бюджета в окружной Совет депутатов.</w:t>
      </w:r>
    </w:p>
    <w:p w14:paraId="21162B3F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3.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6A85C1A3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4. Изменение прогноза социально-экономического развития в ходе составления или рассмотрения проекта бюджета влечет за собой изменение основных характеристик проекта бюджета.</w:t>
      </w:r>
    </w:p>
    <w:p w14:paraId="28627B6F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14:paraId="65261668" w14:textId="6C8BEA1E" w:rsidR="004F395A" w:rsidRPr="00DD1ACA" w:rsidRDefault="00DD1ACA" w:rsidP="004F395A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ACA">
        <w:rPr>
          <w:rFonts w:ascii="Times New Roman" w:hAnsi="Times New Roman"/>
          <w:b/>
          <w:sz w:val="28"/>
          <w:szCs w:val="28"/>
        </w:rPr>
        <w:t>3.2</w:t>
      </w:r>
      <w:r w:rsidR="004F395A" w:rsidRPr="00DD1ACA">
        <w:rPr>
          <w:rFonts w:ascii="Times New Roman" w:hAnsi="Times New Roman"/>
          <w:b/>
          <w:sz w:val="28"/>
          <w:szCs w:val="28"/>
        </w:rPr>
        <w:t>.  Основные направления бюджетной политики и основные направления налоговой политики городского округа</w:t>
      </w:r>
    </w:p>
    <w:p w14:paraId="01367FC2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1. Основные направления налоговой политики должны содержать анализ законодательства о налогах и сборах в части налогов и сборов, формирующих налоговые доходы бюджета городского округа,  обоснование предложений по его совершенствованию в пределах компетенции органов местного самоуправления на финансовый год и плановый период. </w:t>
      </w:r>
    </w:p>
    <w:p w14:paraId="22CFDF24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 2. Основные направления бюджетной политики должны содержать анализ параметров бюджетной системы и основных характеристик бюджета на финансовый год и плановый период с учетом прогноза социально-экономического развития городского округа.</w:t>
      </w:r>
    </w:p>
    <w:p w14:paraId="1BB01B42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3. Основные направления бюджетной политики и основные направления налоговой политики могут принимать форму единого документа, в котором выделены соответствующие тематические разделы</w:t>
      </w:r>
    </w:p>
    <w:p w14:paraId="4E127447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14:paraId="350399F4" w14:textId="525DD213" w:rsidR="004F395A" w:rsidRPr="00DD1ACA" w:rsidRDefault="00DD1ACA" w:rsidP="004F395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ACA">
        <w:rPr>
          <w:b/>
          <w:sz w:val="28"/>
          <w:szCs w:val="28"/>
        </w:rPr>
        <w:t>3.3</w:t>
      </w:r>
      <w:r w:rsidR="004F395A" w:rsidRPr="00DD1ACA">
        <w:rPr>
          <w:b/>
          <w:sz w:val="28"/>
          <w:szCs w:val="28"/>
        </w:rPr>
        <w:t>. Долгосрочное бюджетное планирование</w:t>
      </w:r>
    </w:p>
    <w:p w14:paraId="6635F2D1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Долгосрочное бюджетное планирование осуществляется путём </w:t>
      </w:r>
      <w:r w:rsidRPr="00DD1ACA">
        <w:rPr>
          <w:rFonts w:ascii="Times New Roman" w:hAnsi="Times New Roman"/>
          <w:spacing w:val="-6"/>
          <w:sz w:val="28"/>
          <w:szCs w:val="28"/>
        </w:rPr>
        <w:t xml:space="preserve">формирования бюджетного прогноза городского округа на долгосрочный период в </w:t>
      </w:r>
      <w:r w:rsidRPr="00DD1ACA">
        <w:rPr>
          <w:rFonts w:ascii="Times New Roman" w:hAnsi="Times New Roman"/>
          <w:spacing w:val="-4"/>
          <w:sz w:val="28"/>
          <w:szCs w:val="28"/>
        </w:rPr>
        <w:t xml:space="preserve">случае, если окружной Совет депутатов принял решение о его формировании в соответствии </w:t>
      </w:r>
      <w:r w:rsidRPr="00DD1ACA">
        <w:rPr>
          <w:rFonts w:ascii="Times New Roman" w:hAnsi="Times New Roman"/>
          <w:sz w:val="28"/>
          <w:szCs w:val="28"/>
        </w:rPr>
        <w:t>с требованиями Бюджетного кодекса.</w:t>
      </w:r>
    </w:p>
    <w:p w14:paraId="3EB11936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14:paraId="2B210BED" w14:textId="29A6A0FB" w:rsidR="004F395A" w:rsidRPr="00DD1ACA" w:rsidRDefault="00DD1ACA" w:rsidP="004F395A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ACA">
        <w:rPr>
          <w:rFonts w:ascii="Times New Roman" w:hAnsi="Times New Roman"/>
          <w:b/>
          <w:sz w:val="28"/>
          <w:szCs w:val="28"/>
        </w:rPr>
        <w:t>3.4.</w:t>
      </w:r>
      <w:r w:rsidR="004F395A" w:rsidRPr="00DD1ACA">
        <w:rPr>
          <w:rFonts w:ascii="Times New Roman" w:hAnsi="Times New Roman"/>
          <w:b/>
          <w:sz w:val="28"/>
          <w:szCs w:val="28"/>
        </w:rPr>
        <w:t xml:space="preserve"> Прогнозирование доходов бюджета городского округа</w:t>
      </w:r>
    </w:p>
    <w:p w14:paraId="2DD35EBD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  Доходы бюджета прогнозируются на основе прогноза социально-экономического развития городского округа в условиях действующего на день внесения проекта решения о бюджете в окружной Совет депутатов законодательства о налогах и сборах и бюджетного законодательства Российской Федерации, а </w:t>
      </w:r>
      <w:r w:rsidRPr="00DD1ACA">
        <w:rPr>
          <w:rFonts w:ascii="Times New Roman" w:hAnsi="Times New Roman"/>
          <w:sz w:val="28"/>
          <w:szCs w:val="28"/>
        </w:rPr>
        <w:lastRenderedPageBreak/>
        <w:t>также законодательства Российской Федерации, законов Калининградской области, решений окружного Совета депутатов, устанавливающих неналоговые доходы бюджета городского округа.</w:t>
      </w:r>
    </w:p>
    <w:p w14:paraId="20E631C2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0FA2B0" w14:textId="39A7295F" w:rsidR="004F395A" w:rsidRPr="00DD1ACA" w:rsidRDefault="00DD1ACA" w:rsidP="004F395A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ACA">
        <w:rPr>
          <w:rFonts w:ascii="Times New Roman" w:hAnsi="Times New Roman"/>
          <w:b/>
          <w:sz w:val="28"/>
          <w:szCs w:val="28"/>
        </w:rPr>
        <w:t>3.5.</w:t>
      </w:r>
      <w:r w:rsidR="004F395A" w:rsidRPr="00DD1ACA">
        <w:rPr>
          <w:rFonts w:ascii="Times New Roman" w:hAnsi="Times New Roman"/>
          <w:b/>
          <w:sz w:val="28"/>
          <w:szCs w:val="28"/>
        </w:rPr>
        <w:t xml:space="preserve"> Планирование бюджетных ассигнований</w:t>
      </w:r>
    </w:p>
    <w:p w14:paraId="04E11128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администрацией.</w:t>
      </w:r>
    </w:p>
    <w:p w14:paraId="495BEF7E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14:paraId="66FF84F2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   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году, к признанию утратившими силу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муниципальных правовых актов.</w:t>
      </w:r>
    </w:p>
    <w:p w14:paraId="739C1F63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   Под бюджетными ассигнованиями на исполнение принимаемых расходных обязательств понимаются ассигнования, состав и (или) объем которых обусловлены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году, к принятию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14:paraId="476D133F" w14:textId="5CEAFC79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3.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год, а также его выполнения в отчетном финансовом году и текущем финансовом году.</w:t>
      </w:r>
    </w:p>
    <w:p w14:paraId="3E884283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4.</w:t>
      </w:r>
      <w:r w:rsidRPr="00DD1ACA">
        <w:rPr>
          <w:rFonts w:ascii="Times New Roman" w:hAnsi="Times New Roman"/>
          <w:b/>
          <w:sz w:val="28"/>
          <w:szCs w:val="28"/>
        </w:rPr>
        <w:t xml:space="preserve"> </w:t>
      </w:r>
      <w:r w:rsidRPr="00DD1ACA">
        <w:rPr>
          <w:rFonts w:ascii="Times New Roman" w:hAnsi="Times New Roman"/>
          <w:sz w:val="28"/>
          <w:szCs w:val="28"/>
        </w:rPr>
        <w:t>Прогнозный объем бюджетных ассигнований по муниципальным программам определяется на основании утвержденных муниципальных программ.</w:t>
      </w:r>
    </w:p>
    <w:p w14:paraId="0C6C6147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14:paraId="2002466E" w14:textId="1696C0B0" w:rsidR="004F395A" w:rsidRPr="00DD1ACA" w:rsidRDefault="00DD1ACA" w:rsidP="004F395A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ACA">
        <w:rPr>
          <w:rFonts w:ascii="Times New Roman" w:hAnsi="Times New Roman"/>
          <w:b/>
          <w:sz w:val="28"/>
          <w:szCs w:val="28"/>
        </w:rPr>
        <w:t>3.</w:t>
      </w:r>
      <w:r w:rsidR="004D7874">
        <w:rPr>
          <w:rFonts w:ascii="Times New Roman" w:hAnsi="Times New Roman"/>
          <w:b/>
          <w:sz w:val="28"/>
          <w:szCs w:val="28"/>
        </w:rPr>
        <w:t>6</w:t>
      </w:r>
      <w:r w:rsidR="004F395A" w:rsidRPr="00DD1ACA">
        <w:rPr>
          <w:rFonts w:ascii="Times New Roman" w:hAnsi="Times New Roman"/>
          <w:b/>
          <w:sz w:val="28"/>
          <w:szCs w:val="28"/>
        </w:rPr>
        <w:t xml:space="preserve">. Проект решения о бюджете </w:t>
      </w:r>
      <w:r w:rsidR="003E6840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4F395A" w:rsidRPr="00DD1ACA">
        <w:rPr>
          <w:rFonts w:ascii="Times New Roman" w:hAnsi="Times New Roman"/>
          <w:b/>
          <w:sz w:val="28"/>
          <w:szCs w:val="28"/>
        </w:rPr>
        <w:t>округа</w:t>
      </w:r>
    </w:p>
    <w:p w14:paraId="1254BB69" w14:textId="4862C15F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1.  Проект решения о бюджете</w:t>
      </w:r>
      <w:r w:rsidR="009C7E4B">
        <w:rPr>
          <w:rFonts w:ascii="Times New Roman" w:hAnsi="Times New Roman"/>
          <w:sz w:val="28"/>
          <w:szCs w:val="28"/>
        </w:rPr>
        <w:t xml:space="preserve"> </w:t>
      </w:r>
      <w:r w:rsidR="00980FD2">
        <w:rPr>
          <w:rFonts w:ascii="Times New Roman" w:hAnsi="Times New Roman"/>
          <w:sz w:val="28"/>
          <w:szCs w:val="28"/>
        </w:rPr>
        <w:t xml:space="preserve">городского </w:t>
      </w:r>
      <w:r w:rsidR="009C7E4B">
        <w:rPr>
          <w:rFonts w:ascii="Times New Roman" w:hAnsi="Times New Roman"/>
          <w:sz w:val="28"/>
          <w:szCs w:val="28"/>
        </w:rPr>
        <w:t>округа</w:t>
      </w:r>
      <w:r w:rsidRPr="00DD1ACA">
        <w:rPr>
          <w:rFonts w:ascii="Times New Roman" w:hAnsi="Times New Roman"/>
          <w:sz w:val="28"/>
          <w:szCs w:val="28"/>
        </w:rPr>
        <w:t xml:space="preserve"> должен содержать следующие показатели:</w:t>
      </w:r>
    </w:p>
    <w:p w14:paraId="57A66FA1" w14:textId="4951B6FE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1) общий объем доходов бюджета, общий объем расходов бюджета, дефицит (профицит) бюджета на очередной финансовый год и плановый период;</w:t>
      </w:r>
    </w:p>
    <w:p w14:paraId="27154E14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2) перечень главных администраторов (администраторов) доходов бюджета;</w:t>
      </w:r>
    </w:p>
    <w:p w14:paraId="77611FE4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lastRenderedPageBreak/>
        <w:t>3) прогнозируемые доходы бюджета по группам, подгруппам, статьям, подстатьям и элементам доходов классификации доходов бюджетов Российской Федерации;</w:t>
      </w:r>
    </w:p>
    <w:p w14:paraId="64116ABB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4)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</w:t>
      </w:r>
      <w:r w:rsidRPr="00DD1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D1ACA">
        <w:rPr>
          <w:rFonts w:ascii="Times New Roman" w:hAnsi="Times New Roman"/>
          <w:sz w:val="28"/>
          <w:szCs w:val="28"/>
        </w:rPr>
        <w:t>и плановый период;</w:t>
      </w:r>
    </w:p>
    <w:p w14:paraId="0B388059" w14:textId="3AEBC589" w:rsidR="004F395A" w:rsidRPr="00DD1ACA" w:rsidRDefault="004F395A" w:rsidP="004F395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ACA">
        <w:rPr>
          <w:sz w:val="28"/>
          <w:szCs w:val="28"/>
        </w:rPr>
        <w:t xml:space="preserve">5) </w:t>
      </w:r>
      <w:r w:rsidRPr="00DD1ACA">
        <w:rPr>
          <w:bCs/>
          <w:sz w:val="28"/>
          <w:szCs w:val="28"/>
        </w:rPr>
        <w:t>ведомственная структура расходов бюджета на очередной финансовый год и плановый период,</w:t>
      </w:r>
    </w:p>
    <w:p w14:paraId="11A085D7" w14:textId="77777777" w:rsidR="004F395A" w:rsidRPr="00DD1ACA" w:rsidRDefault="004F395A" w:rsidP="004F3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CA">
        <w:rPr>
          <w:sz w:val="28"/>
          <w:szCs w:val="28"/>
        </w:rPr>
        <w:t>6) общий объем бюджетных ассигнований, направляемых на исполнение публичных нормативных обязательств;</w:t>
      </w:r>
    </w:p>
    <w:p w14:paraId="563B42B9" w14:textId="5EE60F74" w:rsidR="004F395A" w:rsidRPr="00DD1ACA" w:rsidRDefault="004F395A" w:rsidP="004F3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CA">
        <w:rPr>
          <w:sz w:val="28"/>
          <w:szCs w:val="28"/>
        </w:rPr>
        <w:t>7)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14:paraId="3A7BA732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pacing w:val="-5"/>
          <w:sz w:val="28"/>
          <w:szCs w:val="28"/>
        </w:rPr>
        <w:t xml:space="preserve">8) общий объем условно утверждаемых (утвержденных) расходов в случае </w:t>
      </w:r>
      <w:r w:rsidRPr="00DD1ACA">
        <w:rPr>
          <w:rFonts w:ascii="Times New Roman" w:hAnsi="Times New Roman"/>
          <w:sz w:val="28"/>
          <w:szCs w:val="28"/>
        </w:rPr>
        <w:t xml:space="preserve">утверждения бюджета городского округа на очередной финансовый год и </w:t>
      </w:r>
      <w:r w:rsidRPr="00DD1ACA">
        <w:rPr>
          <w:rFonts w:ascii="Times New Roman" w:hAnsi="Times New Roman"/>
          <w:spacing w:val="-6"/>
          <w:sz w:val="28"/>
          <w:szCs w:val="28"/>
        </w:rPr>
        <w:t xml:space="preserve">плановый период на первый год планового периода в объеме не менее 2,5 процента </w:t>
      </w:r>
      <w:r w:rsidRPr="00DD1ACA">
        <w:rPr>
          <w:rFonts w:ascii="Times New Roman" w:hAnsi="Times New Roman"/>
          <w:spacing w:val="-4"/>
          <w:sz w:val="28"/>
          <w:szCs w:val="28"/>
        </w:rPr>
        <w:t xml:space="preserve">общего объема расходов бюджета, на второй год планового периода в объеме не </w:t>
      </w:r>
      <w:r w:rsidRPr="00DD1ACA">
        <w:rPr>
          <w:rFonts w:ascii="Times New Roman" w:hAnsi="Times New Roman"/>
          <w:spacing w:val="-6"/>
          <w:sz w:val="28"/>
          <w:szCs w:val="28"/>
        </w:rPr>
        <w:t xml:space="preserve">менее 5 процентов общего объема расходов бюджета (без учета расходов бюджета, </w:t>
      </w:r>
      <w:r w:rsidRPr="00DD1ACA">
        <w:rPr>
          <w:rFonts w:ascii="Times New Roman" w:hAnsi="Times New Roman"/>
          <w:spacing w:val="-1"/>
          <w:sz w:val="28"/>
          <w:szCs w:val="28"/>
        </w:rPr>
        <w:t xml:space="preserve">предусмотренных за счет межбюджетных трансфертов из других бюджетов </w:t>
      </w:r>
      <w:r w:rsidRPr="00DD1ACA">
        <w:rPr>
          <w:rFonts w:ascii="Times New Roman" w:hAnsi="Times New Roman"/>
          <w:spacing w:val="-5"/>
          <w:sz w:val="28"/>
          <w:szCs w:val="28"/>
        </w:rPr>
        <w:t>бюджетной системы Российской Федерации, имеющих целевое назначение);</w:t>
      </w:r>
    </w:p>
    <w:p w14:paraId="34CA09E6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pacing w:val="-4"/>
          <w:sz w:val="28"/>
          <w:szCs w:val="28"/>
        </w:rPr>
        <w:t xml:space="preserve">9) источники финансирования дефицита бюджета на очередной финансовый </w:t>
      </w:r>
      <w:r w:rsidRPr="00DD1ACA">
        <w:rPr>
          <w:rFonts w:ascii="Times New Roman" w:hAnsi="Times New Roman"/>
          <w:sz w:val="28"/>
          <w:szCs w:val="28"/>
        </w:rPr>
        <w:t>год и плановый период;</w:t>
      </w:r>
    </w:p>
    <w:p w14:paraId="45EA8323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10) перечень главных администраторов источников финансирования дефицита бюджета;</w:t>
      </w:r>
    </w:p>
    <w:p w14:paraId="50B5B399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11) </w:t>
      </w:r>
      <w:r w:rsidRPr="00DD1ACA">
        <w:rPr>
          <w:rFonts w:ascii="Times New Roman" w:hAnsi="Times New Roman"/>
          <w:spacing w:val="-3"/>
          <w:sz w:val="28"/>
          <w:szCs w:val="28"/>
        </w:rPr>
        <w:t xml:space="preserve">верхний предел муниципального внутреннего долга по состоянию на 1 </w:t>
      </w:r>
      <w:r w:rsidRPr="00DD1ACA">
        <w:rPr>
          <w:rFonts w:ascii="Times New Roman" w:hAnsi="Times New Roman"/>
          <w:sz w:val="28"/>
          <w:szCs w:val="28"/>
        </w:rPr>
        <w:t>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14:paraId="65B7E546" w14:textId="361FC00A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12) </w:t>
      </w:r>
      <w:r w:rsidRPr="00DD1ACA">
        <w:rPr>
          <w:rFonts w:ascii="Times New Roman" w:hAnsi="Times New Roman"/>
          <w:spacing w:val="-5"/>
          <w:sz w:val="28"/>
          <w:szCs w:val="28"/>
        </w:rPr>
        <w:t>предельный объем муниципального долга на очередной финансовый год и</w:t>
      </w:r>
      <w:r w:rsidR="009C7E4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D1ACA">
        <w:rPr>
          <w:rFonts w:ascii="Times New Roman" w:hAnsi="Times New Roman"/>
          <w:sz w:val="28"/>
          <w:szCs w:val="28"/>
        </w:rPr>
        <w:t>каждый год планового периода;</w:t>
      </w:r>
    </w:p>
    <w:p w14:paraId="5AE38F76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pacing w:val="-5"/>
          <w:sz w:val="28"/>
          <w:szCs w:val="28"/>
        </w:rPr>
        <w:t xml:space="preserve">13) программа муниципальных внутренних заимствований на очередной </w:t>
      </w:r>
      <w:r w:rsidRPr="00DD1ACA">
        <w:rPr>
          <w:rFonts w:ascii="Times New Roman" w:hAnsi="Times New Roman"/>
          <w:sz w:val="28"/>
          <w:szCs w:val="28"/>
        </w:rPr>
        <w:t>финансовый год и плановый период;</w:t>
      </w:r>
    </w:p>
    <w:p w14:paraId="67038452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14) </w:t>
      </w:r>
      <w:r w:rsidRPr="00DD1ACA">
        <w:rPr>
          <w:rFonts w:ascii="Times New Roman" w:hAnsi="Times New Roman"/>
          <w:spacing w:val="-3"/>
          <w:sz w:val="28"/>
          <w:szCs w:val="28"/>
        </w:rPr>
        <w:t xml:space="preserve">программа муниципальных гарантий на очередной финансовый год и </w:t>
      </w:r>
      <w:r w:rsidRPr="00DD1ACA">
        <w:rPr>
          <w:rFonts w:ascii="Times New Roman" w:hAnsi="Times New Roman"/>
          <w:sz w:val="28"/>
          <w:szCs w:val="28"/>
        </w:rPr>
        <w:t>плановый период;</w:t>
      </w:r>
    </w:p>
    <w:p w14:paraId="0CF8318F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15) </w:t>
      </w:r>
      <w:r w:rsidRPr="00DD1ACA">
        <w:rPr>
          <w:rFonts w:ascii="Times New Roman" w:hAnsi="Times New Roman"/>
          <w:spacing w:val="-5"/>
          <w:sz w:val="28"/>
          <w:szCs w:val="28"/>
        </w:rPr>
        <w:t>размер резервного фонда администрации;</w:t>
      </w:r>
    </w:p>
    <w:p w14:paraId="2891E06A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>16) объем бюджетных ассигнований муниципального дорожного фонда городского округа;</w:t>
      </w:r>
    </w:p>
    <w:p w14:paraId="7F5B1573" w14:textId="77777777" w:rsidR="004F395A" w:rsidRPr="00DD1ACA" w:rsidRDefault="004F395A" w:rsidP="004F3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17) иные показатели, определенные Бюджетным кодексом Российской Федерации, </w:t>
      </w:r>
      <w:r w:rsidRPr="00DD1ACA">
        <w:rPr>
          <w:rFonts w:ascii="Times New Roman" w:hAnsi="Times New Roman"/>
          <w:spacing w:val="-2"/>
          <w:sz w:val="28"/>
          <w:szCs w:val="28"/>
        </w:rPr>
        <w:t xml:space="preserve">законодательством Калининградской области, муниципальными правовыми актами окружного </w:t>
      </w:r>
      <w:r w:rsidRPr="00DD1ACA">
        <w:rPr>
          <w:rFonts w:ascii="Times New Roman" w:hAnsi="Times New Roman"/>
          <w:sz w:val="28"/>
          <w:szCs w:val="28"/>
        </w:rPr>
        <w:t>Совета депутатов.</w:t>
      </w:r>
    </w:p>
    <w:p w14:paraId="72CBDEAF" w14:textId="619968A6" w:rsidR="004F395A" w:rsidRPr="00DD1ACA" w:rsidRDefault="004F395A" w:rsidP="00DD1ACA">
      <w:pPr>
        <w:pStyle w:val="ab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D1ACA">
        <w:rPr>
          <w:rFonts w:ascii="Times New Roman" w:hAnsi="Times New Roman"/>
          <w:spacing w:val="-5"/>
          <w:sz w:val="28"/>
          <w:szCs w:val="28"/>
        </w:rPr>
        <w:lastRenderedPageBreak/>
        <w:t>2. Решением о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бюджете, сверх соответствующих бюджетных ассигнований и (или) общего объема расходов бюджета.</w:t>
      </w:r>
    </w:p>
    <w:p w14:paraId="3E2277B0" w14:textId="77777777" w:rsidR="009C7E4B" w:rsidRDefault="009C7E4B" w:rsidP="00DD1ACA">
      <w:pPr>
        <w:pStyle w:val="ab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C8F227" w14:textId="77777777" w:rsidR="003E6840" w:rsidRDefault="00DD1ACA" w:rsidP="009C7E4B">
      <w:pPr>
        <w:pStyle w:val="a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1ACA">
        <w:rPr>
          <w:rFonts w:ascii="Times New Roman" w:hAnsi="Times New Roman"/>
          <w:b/>
          <w:bCs/>
          <w:sz w:val="28"/>
          <w:szCs w:val="28"/>
        </w:rPr>
        <w:t>4. Внесение проекта решения о бюджете</w:t>
      </w:r>
      <w:r w:rsidR="003E6840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  <w:r w:rsidRPr="00DD1ACA">
        <w:rPr>
          <w:rFonts w:ascii="Times New Roman" w:hAnsi="Times New Roman"/>
          <w:b/>
          <w:bCs/>
          <w:sz w:val="28"/>
          <w:szCs w:val="28"/>
        </w:rPr>
        <w:t xml:space="preserve"> на</w:t>
      </w:r>
    </w:p>
    <w:p w14:paraId="5317D747" w14:textId="3AFEA380" w:rsidR="00DD1ACA" w:rsidRPr="00DD1ACA" w:rsidRDefault="00DD1ACA" w:rsidP="009C7E4B">
      <w:pPr>
        <w:pStyle w:val="a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1ACA">
        <w:rPr>
          <w:rFonts w:ascii="Times New Roman" w:hAnsi="Times New Roman"/>
          <w:b/>
          <w:bCs/>
          <w:sz w:val="28"/>
          <w:szCs w:val="28"/>
        </w:rPr>
        <w:t xml:space="preserve"> рассмотрение представительного органа</w:t>
      </w:r>
    </w:p>
    <w:p w14:paraId="059E56AE" w14:textId="5440C023" w:rsidR="00DD1ACA" w:rsidRPr="00DD1ACA" w:rsidRDefault="00DD1ACA" w:rsidP="00DD1AC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1ACA">
        <w:rPr>
          <w:rFonts w:ascii="Times New Roman" w:hAnsi="Times New Roman"/>
          <w:sz w:val="28"/>
          <w:szCs w:val="28"/>
        </w:rPr>
        <w:t xml:space="preserve">    </w:t>
      </w:r>
    </w:p>
    <w:p w14:paraId="6B5DB433" w14:textId="43E3549B" w:rsidR="00DD1ACA" w:rsidRPr="00DD1ACA" w:rsidRDefault="009C7E4B" w:rsidP="00DD1AC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DD1ACA" w:rsidRPr="00DD1ACA">
        <w:rPr>
          <w:rFonts w:ascii="Times New Roman" w:hAnsi="Times New Roman"/>
          <w:sz w:val="28"/>
          <w:szCs w:val="28"/>
        </w:rPr>
        <w:t xml:space="preserve"> Администрация вносит проект решения о бюджете</w:t>
      </w:r>
      <w:r w:rsidR="003E6840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D1ACA" w:rsidRPr="00DD1AC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на рассмотрение в окружной Совет депутатов не позднее 15 ноября текущего года.</w:t>
      </w:r>
    </w:p>
    <w:p w14:paraId="55509A92" w14:textId="344B6A4E" w:rsidR="00DD1ACA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DD1ACA" w:rsidRPr="00DD1ACA">
        <w:rPr>
          <w:rFonts w:ascii="Times New Roman" w:hAnsi="Times New Roman"/>
          <w:sz w:val="28"/>
          <w:szCs w:val="28"/>
        </w:rPr>
        <w:t>Одновременно с проектом решения о бюджете городского округа в окружной Совет депутатов представляются</w:t>
      </w:r>
      <w:r w:rsidRPr="009C7E4B">
        <w:rPr>
          <w:rFonts w:ascii="Times New Roman" w:hAnsi="Times New Roman"/>
          <w:sz w:val="28"/>
          <w:szCs w:val="28"/>
        </w:rPr>
        <w:t>:</w:t>
      </w:r>
    </w:p>
    <w:p w14:paraId="22B9D60D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>1) основные направления бюджетной политики и основные направления налоговой политики;</w:t>
      </w:r>
    </w:p>
    <w:p w14:paraId="4E5565D9" w14:textId="4BB461EC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>2) предварительные итоги социально-экономического развития муниципального образования «Светлогорский городской округ» за истекший период текущего финансового года и ожидаемые итоги социально-экономического развития городского округа за текущий финансовый год;</w:t>
      </w:r>
    </w:p>
    <w:p w14:paraId="3D31075B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>3) прогноз социально-экономического развития городского округа;</w:t>
      </w:r>
    </w:p>
    <w:p w14:paraId="1CF3F984" w14:textId="77777777" w:rsidR="009C7E4B" w:rsidRPr="009C7E4B" w:rsidRDefault="009C7E4B" w:rsidP="009C7E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E4B">
        <w:rPr>
          <w:rFonts w:eastAsia="Calibri"/>
          <w:sz w:val="28"/>
          <w:szCs w:val="28"/>
          <w:lang w:eastAsia="en-US"/>
        </w:rPr>
        <w:t>4) реестр источников доходов бюджетов;</w:t>
      </w:r>
    </w:p>
    <w:p w14:paraId="56B7ED0E" w14:textId="77777777" w:rsidR="009C7E4B" w:rsidRPr="009C7E4B" w:rsidRDefault="009C7E4B" w:rsidP="009C7E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E4B">
        <w:rPr>
          <w:rFonts w:eastAsia="Calibri"/>
          <w:sz w:val="28"/>
          <w:szCs w:val="28"/>
          <w:lang w:eastAsia="en-US"/>
        </w:rPr>
        <w:t>5) бюджетный прогноз (проект бюджетного прогноза, проект изменений бюджетного прогноза) на долгосрочный период;</w:t>
      </w:r>
    </w:p>
    <w:p w14:paraId="690E2373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>6) пояснительная записка к проекту бюджета городского округа;</w:t>
      </w:r>
    </w:p>
    <w:p w14:paraId="5E72EC29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>7) верхний предел муниципального внутреннего долга на 1 января года, следующего за очередным финансовым годом;</w:t>
      </w:r>
    </w:p>
    <w:p w14:paraId="79DAC49F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>8) оценка ожидаемого исполнения бюджета городского округа на текущий финансовый год;</w:t>
      </w:r>
    </w:p>
    <w:p w14:paraId="58B5FEE6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307"/>
      <w:r w:rsidRPr="009C7E4B">
        <w:rPr>
          <w:rFonts w:ascii="Times New Roman" w:hAnsi="Times New Roman"/>
          <w:sz w:val="28"/>
          <w:szCs w:val="28"/>
        </w:rPr>
        <w:t>9</w:t>
      </w:r>
      <w:bookmarkStart w:id="3" w:name="sub_1308"/>
      <w:bookmarkEnd w:id="2"/>
      <w:r w:rsidRPr="009C7E4B">
        <w:rPr>
          <w:rFonts w:ascii="Times New Roman" w:hAnsi="Times New Roman"/>
          <w:sz w:val="28"/>
          <w:szCs w:val="28"/>
        </w:rPr>
        <w:t>)</w:t>
      </w:r>
      <w:bookmarkStart w:id="4" w:name="sub_1309"/>
      <w:bookmarkEnd w:id="3"/>
      <w:r w:rsidRPr="009C7E4B">
        <w:rPr>
          <w:rFonts w:ascii="Times New Roman" w:hAnsi="Times New Roman"/>
          <w:sz w:val="28"/>
          <w:szCs w:val="28"/>
        </w:rPr>
        <w:t xml:space="preserve"> расчеты по статьям классификации доходов бюджета и источников финансирования дефицита бюджета на очередной финансовый год;</w:t>
      </w:r>
    </w:p>
    <w:p w14:paraId="59009033" w14:textId="77777777" w:rsidR="009C7E4B" w:rsidRPr="009C7E4B" w:rsidRDefault="009C7E4B" w:rsidP="009C7E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E4B">
        <w:rPr>
          <w:rFonts w:eastAsia="Calibri"/>
          <w:sz w:val="28"/>
          <w:szCs w:val="28"/>
          <w:lang w:eastAsia="en-US"/>
        </w:rPr>
        <w:t xml:space="preserve">10) реестр расходных обязательств, подлежащих исполнению за счет средств бюджета городского округа, </w:t>
      </w:r>
    </w:p>
    <w:p w14:paraId="05A8DBC8" w14:textId="77777777" w:rsidR="009C7E4B" w:rsidRPr="009C7E4B" w:rsidRDefault="009C7E4B" w:rsidP="009C7E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E4B">
        <w:rPr>
          <w:rFonts w:eastAsia="Calibri"/>
          <w:sz w:val="28"/>
          <w:szCs w:val="28"/>
          <w:lang w:eastAsia="en-US"/>
        </w:rPr>
        <w:t>11) перечень публичных нормативных обязательств, подлежащих исполнению за счет средств бюджета городского округа, и расчетами по ним на очередной финансовый год и плановый период;</w:t>
      </w:r>
    </w:p>
    <w:p w14:paraId="3A0446AC" w14:textId="77777777" w:rsidR="009C7E4B" w:rsidRPr="009C7E4B" w:rsidRDefault="009C7E4B" w:rsidP="009C7E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E4B">
        <w:rPr>
          <w:rFonts w:eastAsia="Calibri"/>
          <w:sz w:val="28"/>
          <w:szCs w:val="28"/>
          <w:lang w:eastAsia="en-US"/>
        </w:rPr>
        <w:t>12) перечень и оценка объемов расходных обязательств городского округа, возникающих при выполнении полномочий, переданных органами государственной власти Российской Федерации и Калининградской области;</w:t>
      </w:r>
    </w:p>
    <w:p w14:paraId="5118051B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3012"/>
      <w:bookmarkEnd w:id="4"/>
      <w:r w:rsidRPr="009C7E4B">
        <w:rPr>
          <w:rFonts w:ascii="Times New Roman" w:hAnsi="Times New Roman"/>
          <w:sz w:val="28"/>
          <w:szCs w:val="28"/>
        </w:rPr>
        <w:t>13) оценка потерь бюджета по предоставленным налоговым льготам;</w:t>
      </w:r>
    </w:p>
    <w:p w14:paraId="2188C7BC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3013"/>
      <w:bookmarkEnd w:id="5"/>
      <w:r w:rsidRPr="009C7E4B">
        <w:rPr>
          <w:rFonts w:ascii="Times New Roman" w:hAnsi="Times New Roman"/>
          <w:sz w:val="28"/>
          <w:szCs w:val="28"/>
        </w:rPr>
        <w:t>14) виды долговых обязательств и объемы средств, направляемых на их погашение;</w:t>
      </w:r>
    </w:p>
    <w:p w14:paraId="5394D248" w14:textId="54FB5285" w:rsidR="009C7E4B" w:rsidRPr="004D7874" w:rsidRDefault="009C7E4B" w:rsidP="004D78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E4B">
        <w:rPr>
          <w:rFonts w:eastAsia="Calibri"/>
          <w:sz w:val="28"/>
          <w:szCs w:val="28"/>
          <w:lang w:eastAsia="en-US"/>
        </w:rPr>
        <w:lastRenderedPageBreak/>
        <w:t>15) предложения о порядке индексации заработной платы работников муниципальных казенных учреждений, денежного содержания (денежного довольствия) муниципальных служащих в очередном финансовом году и плановом периоде</w:t>
      </w:r>
      <w:bookmarkEnd w:id="6"/>
      <w:r w:rsidRPr="009C7E4B">
        <w:rPr>
          <w:sz w:val="28"/>
          <w:szCs w:val="28"/>
        </w:rPr>
        <w:t>.</w:t>
      </w:r>
    </w:p>
    <w:p w14:paraId="0F53EB14" w14:textId="35063F3A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>Наряду с материалами и документами, составляющими в соответствии с бюджетным законодательством Российской Федерации, в качестве поясняющих документов и материалов к проекту решения о бюджете городского округа, представляемых одновременно с проектом решения о бюджете, формируются:</w:t>
      </w:r>
    </w:p>
    <w:p w14:paraId="216E065B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>1) перечень нормативных правовых актов, подлежащих принятию, изменению, признанию утратившими силу, в связи с принятием решения о бюджете городского округа;</w:t>
      </w:r>
    </w:p>
    <w:p w14:paraId="14F68B5B" w14:textId="77777777" w:rsidR="009C7E4B" w:rsidRPr="009C7E4B" w:rsidRDefault="009C7E4B" w:rsidP="009C7E4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>2) паспорта муниципальных программ, финансирование которых планируется за счет средств бюджета городского округа;</w:t>
      </w:r>
    </w:p>
    <w:p w14:paraId="0D7A657E" w14:textId="6BF42DE1" w:rsidR="009C7E4B" w:rsidRDefault="009C7E4B" w:rsidP="009C7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4B">
        <w:rPr>
          <w:rFonts w:eastAsia="Calibri"/>
          <w:sz w:val="28"/>
          <w:szCs w:val="28"/>
          <w:lang w:eastAsia="en-US"/>
        </w:rPr>
        <w:t>3) данные по прогнозному плану (программе) приватизации муниципального имущества</w:t>
      </w:r>
      <w:r w:rsidRPr="009C7E4B">
        <w:rPr>
          <w:sz w:val="28"/>
          <w:szCs w:val="28"/>
        </w:rPr>
        <w:t>.</w:t>
      </w:r>
    </w:p>
    <w:p w14:paraId="06526A04" w14:textId="66FD19AE" w:rsidR="009C7E4B" w:rsidRPr="009C7E4B" w:rsidRDefault="009C7E4B" w:rsidP="00DD1AC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C7E4B">
        <w:rPr>
          <w:rFonts w:ascii="Times New Roman" w:hAnsi="Times New Roman"/>
          <w:sz w:val="28"/>
          <w:szCs w:val="28"/>
        </w:rPr>
        <w:t xml:space="preserve">В случае, если документы и материалы, указанные в п.4.2 настоящего Порядка представлены не в полном объеме, проект решения о </w:t>
      </w:r>
      <w:r w:rsidR="003E684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Pr="009C7E4B">
        <w:rPr>
          <w:rFonts w:ascii="Times New Roman" w:hAnsi="Times New Roman"/>
          <w:sz w:val="28"/>
          <w:szCs w:val="28"/>
        </w:rPr>
        <w:t xml:space="preserve">возвращается в </w:t>
      </w:r>
      <w:r>
        <w:rPr>
          <w:rFonts w:ascii="Times New Roman" w:hAnsi="Times New Roman"/>
          <w:sz w:val="28"/>
          <w:szCs w:val="28"/>
        </w:rPr>
        <w:t>А</w:t>
      </w:r>
      <w:r w:rsidRPr="009C7E4B">
        <w:rPr>
          <w:rFonts w:ascii="Times New Roman" w:hAnsi="Times New Roman"/>
          <w:sz w:val="28"/>
          <w:szCs w:val="28"/>
        </w:rPr>
        <w:t xml:space="preserve">дминистрацию </w:t>
      </w:r>
      <w:r w:rsidR="003E6840">
        <w:rPr>
          <w:rFonts w:ascii="Times New Roman" w:hAnsi="Times New Roman"/>
          <w:sz w:val="28"/>
          <w:szCs w:val="28"/>
        </w:rPr>
        <w:t xml:space="preserve">муниципального образования «Светлогорский городской округ» </w:t>
      </w:r>
      <w:r w:rsidRPr="009C7E4B">
        <w:rPr>
          <w:rFonts w:ascii="Times New Roman" w:hAnsi="Times New Roman"/>
          <w:sz w:val="28"/>
          <w:szCs w:val="28"/>
        </w:rPr>
        <w:t xml:space="preserve">на доработку. Доработанный проект решения о бюджете повторно представляется в </w:t>
      </w:r>
      <w:r>
        <w:rPr>
          <w:rFonts w:ascii="Times New Roman" w:hAnsi="Times New Roman"/>
          <w:sz w:val="28"/>
          <w:szCs w:val="28"/>
        </w:rPr>
        <w:t>окружной</w:t>
      </w:r>
      <w:r w:rsidRPr="009C7E4B">
        <w:rPr>
          <w:rFonts w:ascii="Times New Roman" w:hAnsi="Times New Roman"/>
          <w:sz w:val="28"/>
          <w:szCs w:val="28"/>
        </w:rPr>
        <w:t xml:space="preserve"> Совет в течение 7 дней со дня его возвращения</w:t>
      </w:r>
    </w:p>
    <w:sectPr w:rsidR="009C7E4B" w:rsidRPr="009C7E4B" w:rsidSect="003A5A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381B"/>
    <w:multiLevelType w:val="hybridMultilevel"/>
    <w:tmpl w:val="CA9C7EC4"/>
    <w:lvl w:ilvl="0" w:tplc="451C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2" w15:restartNumberingAfterBreak="0">
    <w:nsid w:val="7BE560B3"/>
    <w:multiLevelType w:val="hybridMultilevel"/>
    <w:tmpl w:val="1972A486"/>
    <w:lvl w:ilvl="0" w:tplc="4B489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8F"/>
    <w:rsid w:val="000650A0"/>
    <w:rsid w:val="00070EF4"/>
    <w:rsid w:val="0009733F"/>
    <w:rsid w:val="000B4E32"/>
    <w:rsid w:val="0011740C"/>
    <w:rsid w:val="0016064A"/>
    <w:rsid w:val="00162A39"/>
    <w:rsid w:val="001D7CE7"/>
    <w:rsid w:val="00216AB4"/>
    <w:rsid w:val="002741AC"/>
    <w:rsid w:val="002A09CC"/>
    <w:rsid w:val="002C5E4B"/>
    <w:rsid w:val="002F6136"/>
    <w:rsid w:val="0031646B"/>
    <w:rsid w:val="0037793E"/>
    <w:rsid w:val="003A5A8F"/>
    <w:rsid w:val="003D2306"/>
    <w:rsid w:val="003D73B9"/>
    <w:rsid w:val="003E6840"/>
    <w:rsid w:val="003F231B"/>
    <w:rsid w:val="004D7874"/>
    <w:rsid w:val="004F395A"/>
    <w:rsid w:val="00604F05"/>
    <w:rsid w:val="00651815"/>
    <w:rsid w:val="006A7E6D"/>
    <w:rsid w:val="0073714B"/>
    <w:rsid w:val="00767698"/>
    <w:rsid w:val="00784365"/>
    <w:rsid w:val="00784CAD"/>
    <w:rsid w:val="00842697"/>
    <w:rsid w:val="0086653F"/>
    <w:rsid w:val="0089492A"/>
    <w:rsid w:val="008A17E7"/>
    <w:rsid w:val="008E110A"/>
    <w:rsid w:val="00902A2B"/>
    <w:rsid w:val="00906594"/>
    <w:rsid w:val="0090788E"/>
    <w:rsid w:val="00945929"/>
    <w:rsid w:val="009523EB"/>
    <w:rsid w:val="00953452"/>
    <w:rsid w:val="00980263"/>
    <w:rsid w:val="00980FD2"/>
    <w:rsid w:val="009C7E4B"/>
    <w:rsid w:val="009F37E8"/>
    <w:rsid w:val="00A67CAE"/>
    <w:rsid w:val="00B016CF"/>
    <w:rsid w:val="00B24F19"/>
    <w:rsid w:val="00B34B6E"/>
    <w:rsid w:val="00B46C8F"/>
    <w:rsid w:val="00B64CDF"/>
    <w:rsid w:val="00BD4388"/>
    <w:rsid w:val="00C511EC"/>
    <w:rsid w:val="00C71A3A"/>
    <w:rsid w:val="00C876EE"/>
    <w:rsid w:val="00CB1E72"/>
    <w:rsid w:val="00CB78B2"/>
    <w:rsid w:val="00D12056"/>
    <w:rsid w:val="00D365A6"/>
    <w:rsid w:val="00D5515F"/>
    <w:rsid w:val="00D905ED"/>
    <w:rsid w:val="00DA7CA0"/>
    <w:rsid w:val="00DD1ACA"/>
    <w:rsid w:val="00E36A63"/>
    <w:rsid w:val="00F247FB"/>
    <w:rsid w:val="00F413EB"/>
    <w:rsid w:val="00F917C0"/>
    <w:rsid w:val="00FB1B33"/>
    <w:rsid w:val="00FB1CDE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2445"/>
  <w15:chartTrackingRefBased/>
  <w15:docId w15:val="{32B688CB-2B43-4543-9F80-B72C3AF4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46B"/>
    <w:rPr>
      <w:color w:val="0000FF"/>
      <w:u w:val="single"/>
    </w:rPr>
  </w:style>
  <w:style w:type="table" w:styleId="a4">
    <w:name w:val="Table Grid"/>
    <w:basedOn w:val="a1"/>
    <w:uiPriority w:val="39"/>
    <w:rsid w:val="0016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216A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16A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sPlusTitle">
    <w:name w:val="ConsPlusTitle"/>
    <w:rsid w:val="003A5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A5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C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D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174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43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F39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F3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DD1A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311B-A623-4515-BCB1-2FEEA77D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Наталья Манулловна</dc:creator>
  <cp:keywords/>
  <dc:description/>
  <cp:lastModifiedBy>Усманова Наталья Манулловна</cp:lastModifiedBy>
  <cp:revision>20</cp:revision>
  <cp:lastPrinted>2020-03-02T10:32:00Z</cp:lastPrinted>
  <dcterms:created xsi:type="dcterms:W3CDTF">2020-02-19T10:30:00Z</dcterms:created>
  <dcterms:modified xsi:type="dcterms:W3CDTF">2020-03-04T07:15:00Z</dcterms:modified>
</cp:coreProperties>
</file>