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6AB" w:rsidRPr="00C126AB" w:rsidRDefault="00C126AB" w:rsidP="00C126AB">
      <w:pPr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126AB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C126AB" w:rsidRPr="00C126AB" w:rsidRDefault="00C126AB" w:rsidP="00C126AB">
      <w:pPr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126AB">
        <w:rPr>
          <w:rFonts w:ascii="Times New Roman" w:hAnsi="Times New Roman" w:cs="Times New Roman"/>
          <w:b/>
          <w:sz w:val="26"/>
          <w:szCs w:val="26"/>
        </w:rPr>
        <w:t>КАЛИНИНГРАДСКАЯ   ОБЛАСТЬ</w:t>
      </w:r>
    </w:p>
    <w:p w:rsidR="00C126AB" w:rsidRPr="00C126AB" w:rsidRDefault="00C126AB" w:rsidP="00C126AB">
      <w:pPr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126AB">
        <w:rPr>
          <w:rFonts w:ascii="Times New Roman" w:hAnsi="Times New Roman" w:cs="Times New Roman"/>
          <w:b/>
          <w:sz w:val="26"/>
          <w:szCs w:val="26"/>
        </w:rPr>
        <w:t xml:space="preserve">ОКРУЖНОЙ СОВЕТ ДЕПУТАТОВ МУНИЦИПАЛЬНОГО ОБРАЗОВАНИЯ </w:t>
      </w:r>
    </w:p>
    <w:p w:rsidR="00C126AB" w:rsidRPr="00C126AB" w:rsidRDefault="00C126AB" w:rsidP="00C126AB">
      <w:pPr>
        <w:pBdr>
          <w:bottom w:val="single" w:sz="12" w:space="1" w:color="auto"/>
        </w:pBdr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126AB">
        <w:rPr>
          <w:rFonts w:ascii="Times New Roman" w:hAnsi="Times New Roman" w:cs="Times New Roman"/>
          <w:b/>
          <w:sz w:val="26"/>
          <w:szCs w:val="26"/>
        </w:rPr>
        <w:t>«СВЕТЛОГОРСКИЙ ГОРОДСКОЙ ОКРУГ»</w:t>
      </w:r>
    </w:p>
    <w:p w:rsidR="00C126AB" w:rsidRPr="00C126AB" w:rsidRDefault="00C126AB" w:rsidP="00C126A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26AB" w:rsidRPr="00C126AB" w:rsidRDefault="00C126AB" w:rsidP="00C126A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26AB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C126AB" w:rsidRPr="00C126AB" w:rsidRDefault="00C126AB" w:rsidP="00C126AB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C126AB" w:rsidRPr="00C126AB" w:rsidRDefault="00C452B5" w:rsidP="00C126AB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«10</w:t>
      </w:r>
      <w:r w:rsidR="00FB407C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декабря </w:t>
      </w:r>
      <w:r w:rsidR="00C126AB" w:rsidRPr="00C126AB">
        <w:rPr>
          <w:rFonts w:ascii="Times New Roman" w:hAnsi="Times New Roman" w:cs="Times New Roman"/>
          <w:sz w:val="24"/>
          <w:szCs w:val="24"/>
        </w:rPr>
        <w:t xml:space="preserve">2018 года                                                                                   </w:t>
      </w:r>
      <w:r w:rsidR="00C126AB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№64</w:t>
      </w:r>
    </w:p>
    <w:p w:rsidR="00C126AB" w:rsidRPr="00586FEF" w:rsidRDefault="00C126AB" w:rsidP="00C126AB">
      <w:pPr>
        <w:ind w:firstLine="0"/>
        <w:rPr>
          <w:rFonts w:ascii="Times New Roman" w:hAnsi="Times New Roman" w:cs="Times New Roman"/>
          <w:sz w:val="24"/>
          <w:szCs w:val="24"/>
        </w:rPr>
      </w:pPr>
      <w:r w:rsidRPr="00C126AB">
        <w:rPr>
          <w:rFonts w:ascii="Times New Roman" w:hAnsi="Times New Roman" w:cs="Times New Roman"/>
          <w:sz w:val="24"/>
          <w:szCs w:val="24"/>
        </w:rPr>
        <w:t>г. Светлогорск</w:t>
      </w:r>
    </w:p>
    <w:p w:rsidR="00C126AB" w:rsidRPr="00C126AB" w:rsidRDefault="00C126AB" w:rsidP="00C126AB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F33784" w:rsidRDefault="00C126AB" w:rsidP="0059360A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F33784">
        <w:rPr>
          <w:rFonts w:ascii="Times New Roman" w:hAnsi="Times New Roman" w:cs="Times New Roman"/>
          <w:b/>
          <w:sz w:val="28"/>
          <w:szCs w:val="28"/>
        </w:rPr>
        <w:t xml:space="preserve"> ра</w:t>
      </w:r>
      <w:r w:rsidR="005B11D3">
        <w:rPr>
          <w:rFonts w:ascii="Times New Roman" w:hAnsi="Times New Roman" w:cs="Times New Roman"/>
          <w:b/>
          <w:sz w:val="28"/>
          <w:szCs w:val="28"/>
        </w:rPr>
        <w:t>ссмотрении протеста Светлогорского</w:t>
      </w:r>
      <w:r w:rsidR="00F33784">
        <w:rPr>
          <w:rFonts w:ascii="Times New Roman" w:hAnsi="Times New Roman" w:cs="Times New Roman"/>
          <w:b/>
          <w:sz w:val="28"/>
          <w:szCs w:val="28"/>
        </w:rPr>
        <w:t xml:space="preserve"> межрайонно</w:t>
      </w:r>
      <w:r w:rsidR="005B11D3">
        <w:rPr>
          <w:rFonts w:ascii="Times New Roman" w:hAnsi="Times New Roman" w:cs="Times New Roman"/>
          <w:b/>
          <w:sz w:val="28"/>
          <w:szCs w:val="28"/>
        </w:rPr>
        <w:t>го</w:t>
      </w:r>
      <w:r w:rsidR="00F33784">
        <w:rPr>
          <w:rFonts w:ascii="Times New Roman" w:hAnsi="Times New Roman" w:cs="Times New Roman"/>
          <w:b/>
          <w:sz w:val="28"/>
          <w:szCs w:val="28"/>
        </w:rPr>
        <w:t xml:space="preserve"> прокур</w:t>
      </w:r>
      <w:r w:rsidR="005B11D3">
        <w:rPr>
          <w:rFonts w:ascii="Times New Roman" w:hAnsi="Times New Roman" w:cs="Times New Roman"/>
          <w:b/>
          <w:sz w:val="28"/>
          <w:szCs w:val="28"/>
        </w:rPr>
        <w:t>ора</w:t>
      </w:r>
      <w:r w:rsidR="00F3378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9360A" w:rsidRPr="0059360A" w:rsidRDefault="00F33784" w:rsidP="0059360A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C126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360A">
        <w:rPr>
          <w:rFonts w:ascii="Times New Roman" w:hAnsi="Times New Roman" w:cs="Times New Roman"/>
          <w:b/>
          <w:sz w:val="28"/>
          <w:szCs w:val="28"/>
        </w:rPr>
        <w:t xml:space="preserve">внесении изменений в решение городского </w:t>
      </w:r>
      <w:r w:rsidR="0059360A" w:rsidRPr="0059360A">
        <w:rPr>
          <w:rFonts w:ascii="Times New Roman" w:hAnsi="Times New Roman" w:cs="Times New Roman"/>
          <w:b/>
          <w:sz w:val="28"/>
          <w:szCs w:val="28"/>
        </w:rPr>
        <w:t>Совета депутатов муниципального образования «Поселок Донское» от 12 декабря 2016 года №41 «Об утверждении схемы размещения нестационарных торговых объектов на территории муниципального образования городское поселение «Поселок Донское»</w:t>
      </w:r>
    </w:p>
    <w:p w:rsidR="00C126AB" w:rsidRDefault="00C126AB" w:rsidP="00C126A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26AB" w:rsidRPr="005B11D3" w:rsidRDefault="00C126AB" w:rsidP="005B11D3">
      <w:pPr>
        <w:pStyle w:val="a3"/>
        <w:ind w:firstLine="709"/>
        <w:jc w:val="both"/>
      </w:pPr>
      <w:proofErr w:type="gramStart"/>
      <w:r w:rsidRPr="005B11D3">
        <w:t xml:space="preserve">Рассмотрев </w:t>
      </w:r>
      <w:r w:rsidR="00FB407C">
        <w:t>протест</w:t>
      </w:r>
      <w:r w:rsidRPr="005B11D3">
        <w:t xml:space="preserve"> Светлогорск</w:t>
      </w:r>
      <w:r w:rsidR="004472A9" w:rsidRPr="005B11D3">
        <w:t>ого межрайонного прокурора от 20</w:t>
      </w:r>
      <w:r w:rsidRPr="005B11D3">
        <w:t xml:space="preserve"> ноября 201</w:t>
      </w:r>
      <w:r w:rsidR="004472A9" w:rsidRPr="005B11D3">
        <w:t>8</w:t>
      </w:r>
      <w:r w:rsidRPr="005B11D3">
        <w:t xml:space="preserve"> года №7-13/</w:t>
      </w:r>
      <w:r w:rsidR="004472A9" w:rsidRPr="005B11D3">
        <w:t>2338</w:t>
      </w:r>
      <w:r w:rsidRPr="005B11D3">
        <w:t>-201</w:t>
      </w:r>
      <w:r w:rsidR="004472A9" w:rsidRPr="005B11D3">
        <w:t>8</w:t>
      </w:r>
      <w:r w:rsidRPr="005B11D3">
        <w:t xml:space="preserve"> на решение городского Совета депутатов муниципального образования «</w:t>
      </w:r>
      <w:r w:rsidR="004472A9" w:rsidRPr="005B11D3">
        <w:t>Поселок Донское</w:t>
      </w:r>
      <w:r w:rsidRPr="005B11D3">
        <w:t xml:space="preserve">» от </w:t>
      </w:r>
      <w:r w:rsidR="004472A9" w:rsidRPr="005B11D3">
        <w:t>12</w:t>
      </w:r>
      <w:r w:rsidRPr="005B11D3">
        <w:t xml:space="preserve"> </w:t>
      </w:r>
      <w:r w:rsidR="004472A9" w:rsidRPr="005B11D3">
        <w:t>декабря 2016</w:t>
      </w:r>
      <w:r w:rsidRPr="005B11D3">
        <w:t xml:space="preserve"> года №</w:t>
      </w:r>
      <w:r w:rsidR="004472A9" w:rsidRPr="005B11D3">
        <w:t>41</w:t>
      </w:r>
      <w:r w:rsidRPr="005B11D3">
        <w:t xml:space="preserve"> «Об утверждении </w:t>
      </w:r>
      <w:r w:rsidR="004472A9" w:rsidRPr="005B11D3">
        <w:t xml:space="preserve">схемы размещения нестационарных торговых объектов на территории муниципального образования городское поселение «Поселок Донское», </w:t>
      </w:r>
      <w:r w:rsidRPr="005B11D3">
        <w:t>в соответствии с положениями Федерального закона от 06 октября 2003 года №131-ФЗ «Об общих принципах организации местного самоуправления</w:t>
      </w:r>
      <w:proofErr w:type="gramEnd"/>
      <w:r w:rsidRPr="005B11D3">
        <w:t xml:space="preserve"> </w:t>
      </w:r>
      <w:proofErr w:type="gramStart"/>
      <w:r w:rsidRPr="005B11D3">
        <w:t xml:space="preserve">в Российской Федерации», </w:t>
      </w:r>
      <w:hyperlink r:id="rId5" w:history="1">
        <w:r w:rsidR="00677BC3" w:rsidRPr="005B11D3">
          <w:t>Законом</w:t>
        </w:r>
      </w:hyperlink>
      <w:r w:rsidR="00677BC3" w:rsidRPr="005B11D3">
        <w:t xml:space="preserve"> Калининградской области от 30 марта 2018 года № 156 «Об объединении поселений, входящих в состав муниципального образования «Светлогорский муниципальный район», и организации местного самоуправления на объединенной территории», </w:t>
      </w:r>
      <w:r w:rsidRPr="005B11D3">
        <w:t xml:space="preserve">Уставом муниципального образования </w:t>
      </w:r>
      <w:r w:rsidR="004472A9" w:rsidRPr="005B11D3">
        <w:t>«Светлогорский городской округ»</w:t>
      </w:r>
      <w:r w:rsidRPr="005B11D3">
        <w:t xml:space="preserve">», </w:t>
      </w:r>
      <w:r w:rsidR="005B11D3" w:rsidRPr="005B11D3">
        <w:t>решением окружного Совета депутатов муниципального образования «Светлогорский городской округ» «О правопреемстве  органов местного самоуправления муниципального образования «Светлогорский городской округ»» от 17 сентября</w:t>
      </w:r>
      <w:r w:rsidR="005B11D3">
        <w:t xml:space="preserve"> 2018 года</w:t>
      </w:r>
      <w:proofErr w:type="gramEnd"/>
      <w:r w:rsidR="005B11D3">
        <w:t xml:space="preserve"> №3, </w:t>
      </w:r>
      <w:r w:rsidR="004472A9" w:rsidRPr="005B11D3">
        <w:t>окружной</w:t>
      </w:r>
      <w:r w:rsidRPr="005B11D3">
        <w:t xml:space="preserve"> Совет депутатов</w:t>
      </w:r>
    </w:p>
    <w:p w:rsidR="00C126AB" w:rsidRDefault="00C126AB" w:rsidP="00C126AB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C126AB" w:rsidRDefault="00C126AB" w:rsidP="00C126AB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РЕШИЛ: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26AB" w:rsidRDefault="00C126AB" w:rsidP="00C126AB">
      <w:pPr>
        <w:pStyle w:val="ConsPlusTitle"/>
        <w:widowControl/>
        <w:ind w:left="709"/>
        <w:jc w:val="both"/>
      </w:pPr>
      <w:bookmarkStart w:id="0" w:name="sub_10"/>
    </w:p>
    <w:p w:rsidR="00F33784" w:rsidRDefault="00F33784" w:rsidP="00F33784">
      <w:pPr>
        <w:pStyle w:val="ConsPlusTitle"/>
        <w:widowControl/>
        <w:numPr>
          <w:ilvl w:val="0"/>
          <w:numId w:val="1"/>
        </w:numPr>
        <w:ind w:left="0" w:firstLine="709"/>
        <w:jc w:val="both"/>
      </w:pPr>
      <w:r w:rsidRPr="004472A9">
        <w:t xml:space="preserve">Протест Светлогорского межрайонного прокурора от </w:t>
      </w:r>
      <w:r>
        <w:t>20</w:t>
      </w:r>
      <w:r w:rsidRPr="004472A9">
        <w:t xml:space="preserve"> ноября 201</w:t>
      </w:r>
      <w:r>
        <w:t>8</w:t>
      </w:r>
      <w:r w:rsidRPr="004472A9">
        <w:t xml:space="preserve"> года №</w:t>
      </w:r>
      <w:r w:rsidRPr="008C4409">
        <w:t xml:space="preserve">7-13/2338-2018 на решение городского Совета депутатов муниципального образования «Поселок Донское» от 12 декабря 2016 года №41 «Об утверждении схемы размещения нестационарных торговых объектов на территории муниципального образования городское поселение «Поселок Донское» </w:t>
      </w:r>
      <w:r w:rsidRPr="004472A9">
        <w:t>удовлетворить.</w:t>
      </w:r>
    </w:p>
    <w:p w:rsidR="0059360A" w:rsidRDefault="0059360A" w:rsidP="008C4409">
      <w:pPr>
        <w:pStyle w:val="ConsPlusTitle"/>
        <w:widowControl/>
        <w:numPr>
          <w:ilvl w:val="0"/>
          <w:numId w:val="1"/>
        </w:numPr>
        <w:ind w:left="0" w:firstLine="709"/>
        <w:jc w:val="both"/>
      </w:pPr>
      <w:r>
        <w:t xml:space="preserve">Внести изменения в </w:t>
      </w:r>
      <w:r w:rsidR="002148FF">
        <w:t xml:space="preserve">приложение №1 </w:t>
      </w:r>
      <w:r w:rsidRPr="0059360A">
        <w:t>решени</w:t>
      </w:r>
      <w:r w:rsidR="002148FF">
        <w:t>я</w:t>
      </w:r>
      <w:r w:rsidRPr="0059360A">
        <w:t xml:space="preserve"> городского Совета депутатов муниципального образования «Поселок Донское» от 12 декабря 2016 года №41 «Об утверждении схемы размещения нестационарных торговых объектов на территории муниципального образования городское поселение «Поселок Донское»:</w:t>
      </w:r>
    </w:p>
    <w:p w:rsidR="008E76C6" w:rsidRDefault="00F33784" w:rsidP="0059360A">
      <w:pPr>
        <w:pStyle w:val="ConsPlusTitle"/>
        <w:widowControl/>
        <w:ind w:left="709"/>
        <w:jc w:val="both"/>
      </w:pPr>
      <w:r>
        <w:t>2</w:t>
      </w:r>
      <w:r w:rsidR="0059360A">
        <w:t xml:space="preserve">.1. </w:t>
      </w:r>
      <w:r w:rsidR="003D28BE">
        <w:t>В разделе 1 «Результаты инвентаризации»:</w:t>
      </w:r>
    </w:p>
    <w:p w:rsidR="003A49CB" w:rsidRDefault="00F33784" w:rsidP="003A49C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3D28BE" w:rsidRPr="003A49CB">
        <w:rPr>
          <w:rFonts w:ascii="Times New Roman" w:hAnsi="Times New Roman" w:cs="Times New Roman"/>
          <w:b/>
          <w:sz w:val="24"/>
          <w:szCs w:val="24"/>
        </w:rPr>
        <w:t>.1.1.      Исключить из Реестра</w:t>
      </w:r>
      <w:r w:rsidR="003D28BE">
        <w:rPr>
          <w:rFonts w:ascii="Times New Roman" w:hAnsi="Times New Roman" w:cs="Times New Roman"/>
          <w:b/>
          <w:sz w:val="24"/>
          <w:szCs w:val="24"/>
        </w:rPr>
        <w:t xml:space="preserve"> с</w:t>
      </w:r>
      <w:r w:rsidR="003D28BE" w:rsidRPr="003D28BE">
        <w:rPr>
          <w:rFonts w:ascii="Times New Roman" w:hAnsi="Times New Roman" w:cs="Times New Roman"/>
          <w:b/>
          <w:sz w:val="24"/>
          <w:szCs w:val="24"/>
        </w:rPr>
        <w:t>уществующих  нестационарных торговых объектов,</w:t>
      </w:r>
      <w:r w:rsidR="003D28B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D28BE" w:rsidRPr="003D28BE">
        <w:rPr>
          <w:rFonts w:ascii="Times New Roman" w:hAnsi="Times New Roman" w:cs="Times New Roman"/>
          <w:b/>
          <w:sz w:val="24"/>
          <w:szCs w:val="24"/>
        </w:rPr>
        <w:t>расположенных на территории муниципального образования</w:t>
      </w:r>
      <w:r w:rsidR="003D28B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D28BE" w:rsidRPr="003D28BE">
        <w:rPr>
          <w:rFonts w:ascii="Times New Roman" w:hAnsi="Times New Roman" w:cs="Times New Roman"/>
          <w:b/>
          <w:sz w:val="24"/>
          <w:szCs w:val="24"/>
        </w:rPr>
        <w:t xml:space="preserve">городское поселение «Поселок Донское» </w:t>
      </w:r>
      <w:r w:rsidR="003D28BE">
        <w:rPr>
          <w:rFonts w:ascii="Times New Roman" w:hAnsi="Times New Roman" w:cs="Times New Roman"/>
          <w:b/>
          <w:sz w:val="24"/>
          <w:szCs w:val="24"/>
        </w:rPr>
        <w:t>нестационарное торговое место (Приложение</w:t>
      </w:r>
      <w:r w:rsidR="003A49CB">
        <w:rPr>
          <w:rFonts w:ascii="Times New Roman" w:hAnsi="Times New Roman" w:cs="Times New Roman"/>
          <w:b/>
          <w:sz w:val="24"/>
          <w:szCs w:val="24"/>
        </w:rPr>
        <w:t xml:space="preserve"> №1</w:t>
      </w:r>
      <w:r w:rsidR="003D28BE">
        <w:rPr>
          <w:rFonts w:ascii="Times New Roman" w:hAnsi="Times New Roman" w:cs="Times New Roman"/>
          <w:b/>
          <w:sz w:val="24"/>
          <w:szCs w:val="24"/>
        </w:rPr>
        <w:t>).</w:t>
      </w:r>
    </w:p>
    <w:p w:rsidR="003D28BE" w:rsidRPr="003A49CB" w:rsidRDefault="00F33784" w:rsidP="003A49C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3A49CB">
        <w:rPr>
          <w:rFonts w:ascii="Times New Roman" w:hAnsi="Times New Roman" w:cs="Times New Roman"/>
          <w:b/>
          <w:sz w:val="24"/>
          <w:szCs w:val="24"/>
        </w:rPr>
        <w:t xml:space="preserve">.2. В </w:t>
      </w:r>
      <w:r>
        <w:rPr>
          <w:rFonts w:ascii="Times New Roman" w:hAnsi="Times New Roman" w:cs="Times New Roman"/>
          <w:b/>
          <w:sz w:val="24"/>
          <w:szCs w:val="24"/>
        </w:rPr>
        <w:t xml:space="preserve">разделе </w:t>
      </w:r>
      <w:r w:rsidR="00586FEF">
        <w:rPr>
          <w:rFonts w:ascii="Times New Roman" w:hAnsi="Times New Roman" w:cs="Times New Roman"/>
          <w:b/>
          <w:sz w:val="24"/>
          <w:szCs w:val="24"/>
          <w:lang w:val="en-US"/>
        </w:rPr>
        <w:t xml:space="preserve">2 </w:t>
      </w:r>
      <w:r>
        <w:rPr>
          <w:rFonts w:ascii="Times New Roman" w:hAnsi="Times New Roman" w:cs="Times New Roman"/>
          <w:b/>
          <w:sz w:val="24"/>
          <w:szCs w:val="24"/>
        </w:rPr>
        <w:t>«Основная часть»:</w:t>
      </w:r>
    </w:p>
    <w:p w:rsidR="003A49CB" w:rsidRDefault="00F33784" w:rsidP="0059360A">
      <w:pPr>
        <w:pStyle w:val="ConsPlusTitle"/>
        <w:widowControl/>
        <w:ind w:left="709"/>
        <w:jc w:val="both"/>
      </w:pPr>
      <w:r>
        <w:lastRenderedPageBreak/>
        <w:t>2.2.1</w:t>
      </w:r>
      <w:proofErr w:type="gramStart"/>
      <w:r>
        <w:t xml:space="preserve"> И</w:t>
      </w:r>
      <w:proofErr w:type="gramEnd"/>
      <w:r>
        <w:t xml:space="preserve">сключить из опорной схемы размещения </w:t>
      </w:r>
      <w:r w:rsidRPr="00F33784">
        <w:t>нестационарных торговых объектов</w:t>
      </w:r>
      <w:r>
        <w:t xml:space="preserve"> торговый павильон №10 (Приложение №2).</w:t>
      </w:r>
    </w:p>
    <w:p w:rsidR="00F33784" w:rsidRPr="00F33784" w:rsidRDefault="00F33784" w:rsidP="0059360A">
      <w:pPr>
        <w:pStyle w:val="ConsPlusTitle"/>
        <w:widowControl/>
        <w:ind w:left="709"/>
        <w:jc w:val="both"/>
      </w:pPr>
      <w:r>
        <w:t xml:space="preserve">2.2.2. Исключить из проектного плана размещения </w:t>
      </w:r>
      <w:r w:rsidRPr="00F33784">
        <w:t>нестационарных торговых объектов</w:t>
      </w:r>
      <w:r>
        <w:t xml:space="preserve"> торговый павильон №10 (Приложение№3).</w:t>
      </w:r>
    </w:p>
    <w:p w:rsidR="0059360A" w:rsidRDefault="00F33784" w:rsidP="0059360A">
      <w:pPr>
        <w:pStyle w:val="ConsPlusTitle"/>
        <w:widowControl/>
        <w:ind w:left="709"/>
        <w:jc w:val="both"/>
      </w:pPr>
      <w:r>
        <w:t xml:space="preserve">2.2.3. Исключить из </w:t>
      </w:r>
      <w:r w:rsidRPr="00F33784">
        <w:rPr>
          <w:rFonts w:eastAsia="Calibri"/>
          <w:lang w:eastAsia="en-US"/>
        </w:rPr>
        <w:t>Проектной схемы размещения нестационарных торговых объектов</w:t>
      </w:r>
      <w:r>
        <w:rPr>
          <w:rFonts w:eastAsia="Calibri"/>
          <w:lang w:eastAsia="en-US"/>
        </w:rPr>
        <w:t xml:space="preserve"> </w:t>
      </w:r>
      <w:r>
        <w:t>торговый павильон №10, специализация – Продовольственные товары (Приложение №4).</w:t>
      </w:r>
    </w:p>
    <w:p w:rsidR="00F33784" w:rsidRPr="00677BC3" w:rsidRDefault="00677BC3" w:rsidP="0059360A">
      <w:pPr>
        <w:pStyle w:val="ConsPlusTitle"/>
        <w:widowControl/>
        <w:ind w:left="709"/>
        <w:jc w:val="both"/>
      </w:pPr>
      <w:r w:rsidRPr="00677BC3">
        <w:t>2.2.4. Исключить из ситуационной схемы размещения существующих нестационарных торговых объектов в границах территории, применительно к которой подготавливаются схемы торговый павильон №10 (Приложение №5).</w:t>
      </w:r>
    </w:p>
    <w:p w:rsidR="003A38FE" w:rsidRDefault="00C126AB" w:rsidP="003A38FE">
      <w:pPr>
        <w:pStyle w:val="ConsPlusTitle"/>
        <w:widowControl/>
        <w:numPr>
          <w:ilvl w:val="0"/>
          <w:numId w:val="1"/>
        </w:numPr>
        <w:ind w:left="0" w:firstLine="709"/>
        <w:jc w:val="both"/>
      </w:pPr>
      <w:bookmarkStart w:id="1" w:name="sub_11"/>
      <w:bookmarkEnd w:id="0"/>
      <w:r w:rsidRPr="004472A9">
        <w:t>Направить настоящее решение в Светлогорскую межрайонную прокуратуру.</w:t>
      </w:r>
    </w:p>
    <w:p w:rsidR="00F0794A" w:rsidRDefault="00677BC3" w:rsidP="00F0794A">
      <w:pPr>
        <w:pStyle w:val="ConsPlusTitle"/>
        <w:widowControl/>
        <w:numPr>
          <w:ilvl w:val="0"/>
          <w:numId w:val="1"/>
        </w:numPr>
        <w:ind w:left="0" w:firstLine="709"/>
        <w:jc w:val="both"/>
      </w:pPr>
      <w:r w:rsidRPr="00677BC3">
        <w:t>Опубликовать настоящее решение в газете «Вестник Светлогорска» и</w:t>
      </w:r>
      <w:r w:rsidR="003A38FE" w:rsidRPr="003A38FE">
        <w:t xml:space="preserve">  разместить в информационно-телекоммуникационной сети Интернет на сайте </w:t>
      </w:r>
      <w:hyperlink r:id="rId6" w:history="1">
        <w:r w:rsidR="003A38FE" w:rsidRPr="003A38FE">
          <w:rPr>
            <w:rStyle w:val="a4"/>
            <w:color w:val="auto"/>
            <w:u w:val="none"/>
          </w:rPr>
          <w:t>www.</w:t>
        </w:r>
        <w:r w:rsidR="003A38FE" w:rsidRPr="003A38FE">
          <w:rPr>
            <w:rStyle w:val="a4"/>
            <w:color w:val="auto"/>
            <w:u w:val="none"/>
            <w:lang w:val="en-US"/>
          </w:rPr>
          <w:t>svetlogorsk</w:t>
        </w:r>
        <w:r w:rsidR="003A38FE" w:rsidRPr="003A38FE">
          <w:rPr>
            <w:rStyle w:val="a4"/>
            <w:color w:val="auto"/>
            <w:u w:val="none"/>
          </w:rPr>
          <w:t>39.ru</w:t>
        </w:r>
      </w:hyperlink>
      <w:r w:rsidR="003A38FE" w:rsidRPr="003A38FE">
        <w:t>.</w:t>
      </w:r>
    </w:p>
    <w:p w:rsidR="00F0794A" w:rsidRDefault="00AE0A94" w:rsidP="00F0794A">
      <w:pPr>
        <w:pStyle w:val="ConsPlusTitle"/>
        <w:widowControl/>
        <w:numPr>
          <w:ilvl w:val="0"/>
          <w:numId w:val="1"/>
        </w:numPr>
        <w:ind w:left="0" w:firstLine="709"/>
        <w:jc w:val="both"/>
      </w:pPr>
      <w:proofErr w:type="gramStart"/>
      <w:r>
        <w:t xml:space="preserve">Контроль </w:t>
      </w:r>
      <w:r w:rsidR="00677BC3" w:rsidRPr="00677BC3">
        <w:t>за</w:t>
      </w:r>
      <w:proofErr w:type="gramEnd"/>
      <w:r w:rsidR="00677BC3" w:rsidRPr="00677BC3">
        <w:t xml:space="preserve"> исполнением настоящего решения возложить на постоянную Комиссию окружного Совета депутатов муниципального образования «Светлогорский городской округ» по бюджету, экономике и градостроительн</w:t>
      </w:r>
      <w:r w:rsidR="00677BC3">
        <w:t>ой деятельности (А.И. Ярошенко).</w:t>
      </w:r>
      <w:r w:rsidR="00F0794A" w:rsidRPr="00F0794A">
        <w:t xml:space="preserve"> </w:t>
      </w:r>
    </w:p>
    <w:p w:rsidR="00677BC3" w:rsidRDefault="00F0794A" w:rsidP="00F0794A">
      <w:pPr>
        <w:pStyle w:val="ConsPlusTitle"/>
        <w:widowControl/>
        <w:numPr>
          <w:ilvl w:val="0"/>
          <w:numId w:val="1"/>
        </w:numPr>
        <w:ind w:left="0" w:firstLine="709"/>
        <w:jc w:val="both"/>
      </w:pPr>
      <w:r w:rsidRPr="00F0794A">
        <w:t xml:space="preserve">Решение  в течение пяти  дней  </w:t>
      </w:r>
      <w:proofErr w:type="gramStart"/>
      <w:r w:rsidRPr="00F0794A">
        <w:t>с даты принятия</w:t>
      </w:r>
      <w:proofErr w:type="gramEnd"/>
      <w:r w:rsidRPr="00F0794A">
        <w:t xml:space="preserve"> направить в министерство  по промышленной политике, развитию предпринимательства и торговли Калининградской области.</w:t>
      </w:r>
    </w:p>
    <w:p w:rsidR="00C126AB" w:rsidRPr="004472A9" w:rsidRDefault="00C126AB" w:rsidP="008C4409">
      <w:pPr>
        <w:pStyle w:val="ConsPlusTitle"/>
        <w:widowControl/>
        <w:numPr>
          <w:ilvl w:val="0"/>
          <w:numId w:val="1"/>
        </w:numPr>
        <w:ind w:left="0" w:firstLine="709"/>
        <w:jc w:val="both"/>
      </w:pPr>
      <w:r w:rsidRPr="004472A9">
        <w:t xml:space="preserve">Настоящее решение вступает в силу </w:t>
      </w:r>
      <w:r w:rsidR="00AE0A94">
        <w:t>после его</w:t>
      </w:r>
      <w:r w:rsidRPr="004472A9">
        <w:t xml:space="preserve"> </w:t>
      </w:r>
      <w:r w:rsidR="00677BC3">
        <w:t>опубликования</w:t>
      </w:r>
      <w:r w:rsidRPr="004472A9">
        <w:t>.</w:t>
      </w:r>
    </w:p>
    <w:bookmarkEnd w:id="1"/>
    <w:p w:rsidR="00C126AB" w:rsidRPr="00227291" w:rsidRDefault="00C126AB" w:rsidP="00C126AB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C126AB" w:rsidRDefault="00C126AB" w:rsidP="00C126AB">
      <w:pPr>
        <w:rPr>
          <w:rFonts w:ascii="Times New Roman" w:hAnsi="Times New Roman" w:cs="Times New Roman"/>
          <w:sz w:val="28"/>
          <w:szCs w:val="28"/>
        </w:rPr>
      </w:pPr>
    </w:p>
    <w:p w:rsidR="00C126AB" w:rsidRDefault="00C126AB" w:rsidP="00C126A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C126AB" w:rsidRDefault="00C126AB" w:rsidP="00C126A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«Светлогорский городской округ»                                                    А.В. Мохнов</w:t>
      </w:r>
    </w:p>
    <w:p w:rsidR="003D28BE" w:rsidRDefault="003D28BE" w:rsidP="00C126A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77BC3" w:rsidRDefault="00677BC3" w:rsidP="00677BC3">
      <w:pPr>
        <w:pStyle w:val="a3"/>
        <w:jc w:val="right"/>
        <w:rPr>
          <w:b/>
          <w:sz w:val="20"/>
          <w:szCs w:val="20"/>
        </w:rPr>
      </w:pPr>
    </w:p>
    <w:p w:rsidR="00677BC3" w:rsidRDefault="00677BC3" w:rsidP="00677BC3">
      <w:pPr>
        <w:pStyle w:val="a3"/>
        <w:jc w:val="right"/>
        <w:rPr>
          <w:b/>
          <w:sz w:val="20"/>
          <w:szCs w:val="20"/>
        </w:rPr>
      </w:pPr>
    </w:p>
    <w:p w:rsidR="00677BC3" w:rsidRDefault="00677BC3" w:rsidP="00677BC3">
      <w:pPr>
        <w:pStyle w:val="a3"/>
        <w:jc w:val="right"/>
        <w:rPr>
          <w:b/>
          <w:sz w:val="20"/>
          <w:szCs w:val="20"/>
        </w:rPr>
      </w:pPr>
    </w:p>
    <w:p w:rsidR="00677BC3" w:rsidRDefault="00677BC3" w:rsidP="00677BC3">
      <w:pPr>
        <w:pStyle w:val="a3"/>
        <w:jc w:val="right"/>
        <w:rPr>
          <w:b/>
          <w:sz w:val="20"/>
          <w:szCs w:val="20"/>
        </w:rPr>
      </w:pPr>
    </w:p>
    <w:p w:rsidR="00677BC3" w:rsidRDefault="00677BC3" w:rsidP="00677BC3">
      <w:pPr>
        <w:pStyle w:val="a3"/>
        <w:jc w:val="right"/>
        <w:rPr>
          <w:b/>
          <w:sz w:val="20"/>
          <w:szCs w:val="20"/>
        </w:rPr>
      </w:pPr>
    </w:p>
    <w:p w:rsidR="00F0794A" w:rsidRDefault="00F0794A" w:rsidP="00677BC3">
      <w:pPr>
        <w:pStyle w:val="a3"/>
        <w:jc w:val="right"/>
        <w:rPr>
          <w:b/>
          <w:sz w:val="20"/>
          <w:szCs w:val="20"/>
        </w:rPr>
      </w:pPr>
    </w:p>
    <w:p w:rsidR="00F0794A" w:rsidRDefault="00F0794A" w:rsidP="00677BC3">
      <w:pPr>
        <w:pStyle w:val="a3"/>
        <w:jc w:val="right"/>
        <w:rPr>
          <w:b/>
          <w:sz w:val="20"/>
          <w:szCs w:val="20"/>
        </w:rPr>
      </w:pPr>
    </w:p>
    <w:p w:rsidR="00F0794A" w:rsidRDefault="00F0794A" w:rsidP="00677BC3">
      <w:pPr>
        <w:pStyle w:val="a3"/>
        <w:jc w:val="right"/>
        <w:rPr>
          <w:b/>
          <w:sz w:val="20"/>
          <w:szCs w:val="20"/>
        </w:rPr>
      </w:pPr>
    </w:p>
    <w:p w:rsidR="00F0794A" w:rsidRDefault="00F0794A" w:rsidP="00677BC3">
      <w:pPr>
        <w:pStyle w:val="a3"/>
        <w:jc w:val="right"/>
        <w:rPr>
          <w:b/>
          <w:sz w:val="20"/>
          <w:szCs w:val="20"/>
        </w:rPr>
      </w:pPr>
    </w:p>
    <w:p w:rsidR="00F0794A" w:rsidRDefault="00F0794A" w:rsidP="00677BC3">
      <w:pPr>
        <w:pStyle w:val="a3"/>
        <w:jc w:val="right"/>
        <w:rPr>
          <w:b/>
          <w:sz w:val="20"/>
          <w:szCs w:val="20"/>
        </w:rPr>
      </w:pPr>
    </w:p>
    <w:p w:rsidR="00F0794A" w:rsidRDefault="00F0794A" w:rsidP="00677BC3">
      <w:pPr>
        <w:pStyle w:val="a3"/>
        <w:jc w:val="right"/>
        <w:rPr>
          <w:b/>
          <w:sz w:val="20"/>
          <w:szCs w:val="20"/>
        </w:rPr>
      </w:pPr>
    </w:p>
    <w:p w:rsidR="00F0794A" w:rsidRDefault="00F0794A" w:rsidP="00677BC3">
      <w:pPr>
        <w:pStyle w:val="a3"/>
        <w:jc w:val="right"/>
        <w:rPr>
          <w:b/>
          <w:sz w:val="20"/>
          <w:szCs w:val="20"/>
        </w:rPr>
      </w:pPr>
    </w:p>
    <w:p w:rsidR="00F0794A" w:rsidRDefault="00F0794A" w:rsidP="00677BC3">
      <w:pPr>
        <w:pStyle w:val="a3"/>
        <w:jc w:val="right"/>
        <w:rPr>
          <w:b/>
          <w:sz w:val="20"/>
          <w:szCs w:val="20"/>
        </w:rPr>
      </w:pPr>
    </w:p>
    <w:p w:rsidR="00F0794A" w:rsidRDefault="00F0794A" w:rsidP="00677BC3">
      <w:pPr>
        <w:pStyle w:val="a3"/>
        <w:jc w:val="right"/>
        <w:rPr>
          <w:b/>
          <w:sz w:val="20"/>
          <w:szCs w:val="20"/>
        </w:rPr>
      </w:pPr>
    </w:p>
    <w:p w:rsidR="00F0794A" w:rsidRDefault="00F0794A" w:rsidP="00677BC3">
      <w:pPr>
        <w:pStyle w:val="a3"/>
        <w:jc w:val="right"/>
        <w:rPr>
          <w:b/>
          <w:sz w:val="20"/>
          <w:szCs w:val="20"/>
        </w:rPr>
      </w:pPr>
    </w:p>
    <w:p w:rsidR="00F0794A" w:rsidRDefault="00F0794A" w:rsidP="00677BC3">
      <w:pPr>
        <w:pStyle w:val="a3"/>
        <w:jc w:val="right"/>
        <w:rPr>
          <w:b/>
          <w:sz w:val="20"/>
          <w:szCs w:val="20"/>
        </w:rPr>
      </w:pPr>
    </w:p>
    <w:p w:rsidR="00F0794A" w:rsidRDefault="00F0794A" w:rsidP="00677BC3">
      <w:pPr>
        <w:pStyle w:val="a3"/>
        <w:jc w:val="right"/>
        <w:rPr>
          <w:b/>
          <w:sz w:val="20"/>
          <w:szCs w:val="20"/>
        </w:rPr>
      </w:pPr>
    </w:p>
    <w:p w:rsidR="00F0794A" w:rsidRDefault="00F0794A" w:rsidP="00677BC3">
      <w:pPr>
        <w:pStyle w:val="a3"/>
        <w:jc w:val="right"/>
        <w:rPr>
          <w:b/>
          <w:sz w:val="20"/>
          <w:szCs w:val="20"/>
        </w:rPr>
      </w:pPr>
    </w:p>
    <w:p w:rsidR="00F0794A" w:rsidRDefault="00F0794A" w:rsidP="00677BC3">
      <w:pPr>
        <w:pStyle w:val="a3"/>
        <w:jc w:val="right"/>
        <w:rPr>
          <w:b/>
          <w:sz w:val="20"/>
          <w:szCs w:val="20"/>
        </w:rPr>
      </w:pPr>
    </w:p>
    <w:p w:rsidR="00F0794A" w:rsidRDefault="00F0794A" w:rsidP="00677BC3">
      <w:pPr>
        <w:pStyle w:val="a3"/>
        <w:jc w:val="right"/>
        <w:rPr>
          <w:b/>
          <w:sz w:val="20"/>
          <w:szCs w:val="20"/>
        </w:rPr>
      </w:pPr>
    </w:p>
    <w:p w:rsidR="00F0794A" w:rsidRDefault="00F0794A" w:rsidP="00677BC3">
      <w:pPr>
        <w:pStyle w:val="a3"/>
        <w:jc w:val="right"/>
        <w:rPr>
          <w:b/>
          <w:sz w:val="20"/>
          <w:szCs w:val="20"/>
        </w:rPr>
      </w:pPr>
    </w:p>
    <w:p w:rsidR="00F0794A" w:rsidRDefault="00F0794A" w:rsidP="00677BC3">
      <w:pPr>
        <w:pStyle w:val="a3"/>
        <w:jc w:val="right"/>
        <w:rPr>
          <w:b/>
          <w:sz w:val="20"/>
          <w:szCs w:val="20"/>
        </w:rPr>
      </w:pPr>
    </w:p>
    <w:p w:rsidR="00F0794A" w:rsidRDefault="00F0794A" w:rsidP="00677BC3">
      <w:pPr>
        <w:pStyle w:val="a3"/>
        <w:jc w:val="right"/>
        <w:rPr>
          <w:b/>
          <w:sz w:val="20"/>
          <w:szCs w:val="20"/>
        </w:rPr>
      </w:pPr>
    </w:p>
    <w:p w:rsidR="00F0794A" w:rsidRDefault="00F0794A" w:rsidP="00677BC3">
      <w:pPr>
        <w:pStyle w:val="a3"/>
        <w:jc w:val="right"/>
        <w:rPr>
          <w:b/>
          <w:sz w:val="20"/>
          <w:szCs w:val="20"/>
        </w:rPr>
      </w:pPr>
    </w:p>
    <w:p w:rsidR="00F0794A" w:rsidRDefault="00F0794A" w:rsidP="00677BC3">
      <w:pPr>
        <w:pStyle w:val="a3"/>
        <w:jc w:val="right"/>
        <w:rPr>
          <w:b/>
          <w:sz w:val="20"/>
          <w:szCs w:val="20"/>
        </w:rPr>
      </w:pPr>
    </w:p>
    <w:p w:rsidR="00F0794A" w:rsidRDefault="00F0794A" w:rsidP="00677BC3">
      <w:pPr>
        <w:pStyle w:val="a3"/>
        <w:jc w:val="right"/>
        <w:rPr>
          <w:b/>
          <w:sz w:val="20"/>
          <w:szCs w:val="20"/>
        </w:rPr>
      </w:pPr>
    </w:p>
    <w:p w:rsidR="00F0794A" w:rsidRDefault="00F0794A" w:rsidP="00677BC3">
      <w:pPr>
        <w:pStyle w:val="a3"/>
        <w:jc w:val="right"/>
        <w:rPr>
          <w:b/>
          <w:sz w:val="20"/>
          <w:szCs w:val="20"/>
        </w:rPr>
      </w:pPr>
    </w:p>
    <w:p w:rsidR="00F0794A" w:rsidRDefault="00F0794A" w:rsidP="00677BC3">
      <w:pPr>
        <w:pStyle w:val="a3"/>
        <w:jc w:val="right"/>
        <w:rPr>
          <w:b/>
          <w:sz w:val="20"/>
          <w:szCs w:val="20"/>
        </w:rPr>
      </w:pPr>
    </w:p>
    <w:p w:rsidR="00677BC3" w:rsidRPr="00202B33" w:rsidRDefault="00677BC3" w:rsidP="00677BC3">
      <w:pPr>
        <w:pStyle w:val="a3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П</w:t>
      </w:r>
      <w:r w:rsidRPr="00202B33">
        <w:rPr>
          <w:b/>
          <w:sz w:val="20"/>
          <w:szCs w:val="20"/>
        </w:rPr>
        <w:t>риложение</w:t>
      </w:r>
      <w:r w:rsidR="00FB407C">
        <w:rPr>
          <w:b/>
          <w:sz w:val="20"/>
          <w:szCs w:val="20"/>
        </w:rPr>
        <w:t xml:space="preserve"> №1</w:t>
      </w:r>
      <w:r w:rsidRPr="00202B33">
        <w:rPr>
          <w:b/>
          <w:sz w:val="20"/>
          <w:szCs w:val="20"/>
        </w:rPr>
        <w:t xml:space="preserve"> </w:t>
      </w:r>
    </w:p>
    <w:p w:rsidR="00677BC3" w:rsidRPr="00202B33" w:rsidRDefault="00677BC3" w:rsidP="00677BC3">
      <w:pPr>
        <w:pStyle w:val="a3"/>
        <w:jc w:val="right"/>
        <w:rPr>
          <w:b/>
          <w:sz w:val="20"/>
          <w:szCs w:val="20"/>
        </w:rPr>
      </w:pPr>
      <w:r w:rsidRPr="00202B33">
        <w:rPr>
          <w:b/>
          <w:sz w:val="20"/>
          <w:szCs w:val="20"/>
        </w:rPr>
        <w:t xml:space="preserve">к решению </w:t>
      </w:r>
      <w:proofErr w:type="gramStart"/>
      <w:r>
        <w:rPr>
          <w:b/>
          <w:sz w:val="20"/>
          <w:szCs w:val="20"/>
        </w:rPr>
        <w:t>окружного</w:t>
      </w:r>
      <w:proofErr w:type="gramEnd"/>
      <w:r w:rsidRPr="00202B33">
        <w:rPr>
          <w:b/>
          <w:sz w:val="20"/>
          <w:szCs w:val="20"/>
        </w:rPr>
        <w:t xml:space="preserve"> Совета депутатов</w:t>
      </w:r>
    </w:p>
    <w:p w:rsidR="00677BC3" w:rsidRDefault="00677BC3" w:rsidP="00677BC3">
      <w:pPr>
        <w:pStyle w:val="a3"/>
        <w:jc w:val="right"/>
        <w:rPr>
          <w:b/>
          <w:sz w:val="20"/>
          <w:szCs w:val="20"/>
        </w:rPr>
      </w:pPr>
      <w:r w:rsidRPr="00202B33">
        <w:rPr>
          <w:b/>
          <w:sz w:val="20"/>
          <w:szCs w:val="20"/>
        </w:rPr>
        <w:t xml:space="preserve">муниципального образования </w:t>
      </w:r>
    </w:p>
    <w:p w:rsidR="00677BC3" w:rsidRPr="00202B33" w:rsidRDefault="00677BC3" w:rsidP="00677BC3">
      <w:pPr>
        <w:pStyle w:val="a3"/>
        <w:jc w:val="right"/>
        <w:rPr>
          <w:b/>
          <w:sz w:val="20"/>
          <w:szCs w:val="20"/>
        </w:rPr>
      </w:pPr>
      <w:r w:rsidRPr="00202B33">
        <w:rPr>
          <w:b/>
          <w:sz w:val="20"/>
          <w:szCs w:val="20"/>
        </w:rPr>
        <w:t>«</w:t>
      </w:r>
      <w:r>
        <w:rPr>
          <w:b/>
          <w:sz w:val="20"/>
          <w:szCs w:val="20"/>
        </w:rPr>
        <w:t>Светлогорский городской округ</w:t>
      </w:r>
      <w:r w:rsidRPr="00202B33">
        <w:rPr>
          <w:b/>
          <w:sz w:val="20"/>
          <w:szCs w:val="20"/>
        </w:rPr>
        <w:t>»</w:t>
      </w:r>
    </w:p>
    <w:p w:rsidR="00677BC3" w:rsidRPr="0064190D" w:rsidRDefault="00C452B5" w:rsidP="00677BC3">
      <w:pPr>
        <w:pStyle w:val="a3"/>
        <w:jc w:val="right"/>
      </w:pPr>
      <w:r>
        <w:rPr>
          <w:b/>
          <w:sz w:val="20"/>
          <w:szCs w:val="20"/>
        </w:rPr>
        <w:t>от «10</w:t>
      </w:r>
      <w:r w:rsidR="00677BC3" w:rsidRPr="00202B33">
        <w:rPr>
          <w:b/>
          <w:sz w:val="20"/>
          <w:szCs w:val="20"/>
        </w:rPr>
        <w:t xml:space="preserve">» </w:t>
      </w:r>
      <w:r w:rsidR="00677BC3">
        <w:rPr>
          <w:b/>
          <w:sz w:val="20"/>
          <w:szCs w:val="20"/>
        </w:rPr>
        <w:t xml:space="preserve">декабря </w:t>
      </w:r>
      <w:r w:rsidR="00677BC3" w:rsidRPr="00202B33">
        <w:rPr>
          <w:b/>
          <w:sz w:val="20"/>
          <w:szCs w:val="20"/>
        </w:rPr>
        <w:t>20</w:t>
      </w:r>
      <w:r w:rsidR="00677BC3">
        <w:rPr>
          <w:b/>
          <w:sz w:val="20"/>
          <w:szCs w:val="20"/>
        </w:rPr>
        <w:t>18</w:t>
      </w:r>
      <w:r w:rsidR="00677BC3" w:rsidRPr="00202B33">
        <w:rPr>
          <w:b/>
          <w:sz w:val="20"/>
          <w:szCs w:val="20"/>
        </w:rPr>
        <w:t>г</w:t>
      </w:r>
      <w:r>
        <w:rPr>
          <w:b/>
          <w:sz w:val="20"/>
          <w:szCs w:val="20"/>
        </w:rPr>
        <w:t>ода</w:t>
      </w:r>
      <w:r w:rsidR="00677BC3" w:rsidRPr="00202B33">
        <w:rPr>
          <w:b/>
          <w:sz w:val="20"/>
          <w:szCs w:val="20"/>
        </w:rPr>
        <w:t xml:space="preserve"> №</w:t>
      </w:r>
      <w:r>
        <w:rPr>
          <w:b/>
          <w:sz w:val="20"/>
          <w:szCs w:val="20"/>
        </w:rPr>
        <w:t>64</w:t>
      </w:r>
    </w:p>
    <w:p w:rsidR="003A49CB" w:rsidRDefault="003A49CB" w:rsidP="003A49CB">
      <w:pPr>
        <w:jc w:val="center"/>
        <w:rPr>
          <w:rFonts w:ascii="Times New Roman" w:hAnsi="Times New Roman"/>
          <w:b/>
          <w:sz w:val="24"/>
          <w:szCs w:val="24"/>
        </w:rPr>
      </w:pPr>
    </w:p>
    <w:p w:rsidR="003A49CB" w:rsidRDefault="003A49CB" w:rsidP="003A49CB">
      <w:pPr>
        <w:jc w:val="center"/>
        <w:rPr>
          <w:rFonts w:ascii="Times New Roman" w:hAnsi="Times New Roman"/>
          <w:b/>
          <w:sz w:val="24"/>
          <w:szCs w:val="24"/>
        </w:rPr>
      </w:pPr>
    </w:p>
    <w:p w:rsidR="003A49CB" w:rsidRDefault="003A49CB" w:rsidP="003A49CB">
      <w:pPr>
        <w:jc w:val="center"/>
        <w:rPr>
          <w:rFonts w:ascii="Times New Roman" w:hAnsi="Times New Roman"/>
          <w:b/>
          <w:sz w:val="24"/>
          <w:szCs w:val="24"/>
        </w:rPr>
      </w:pPr>
      <w:r w:rsidRPr="00B767B3">
        <w:rPr>
          <w:rFonts w:ascii="Times New Roman" w:hAnsi="Times New Roman"/>
          <w:b/>
          <w:sz w:val="24"/>
          <w:szCs w:val="24"/>
        </w:rPr>
        <w:t xml:space="preserve">Перечень  объектов, подлежащих исключению из </w:t>
      </w:r>
      <w:r>
        <w:rPr>
          <w:rFonts w:ascii="Times New Roman" w:hAnsi="Times New Roman"/>
          <w:b/>
          <w:sz w:val="24"/>
          <w:szCs w:val="24"/>
        </w:rPr>
        <w:t xml:space="preserve">Реестра </w:t>
      </w:r>
      <w:r w:rsidRPr="00B767B3">
        <w:rPr>
          <w:rFonts w:ascii="Times New Roman" w:hAnsi="Times New Roman"/>
          <w:b/>
          <w:sz w:val="24"/>
          <w:szCs w:val="24"/>
        </w:rPr>
        <w:t xml:space="preserve">размещения нестационарных торговых объектов </w:t>
      </w:r>
    </w:p>
    <w:p w:rsidR="00C126AB" w:rsidRDefault="00C126AB" w:rsidP="00C126AB"/>
    <w:tbl>
      <w:tblPr>
        <w:tblW w:w="9782" w:type="dxa"/>
        <w:tblInd w:w="-176" w:type="dxa"/>
        <w:tblLook w:val="04A0"/>
      </w:tblPr>
      <w:tblGrid>
        <w:gridCol w:w="823"/>
        <w:gridCol w:w="2298"/>
        <w:gridCol w:w="1171"/>
        <w:gridCol w:w="2290"/>
        <w:gridCol w:w="3200"/>
      </w:tblGrid>
      <w:tr w:rsidR="003D28BE" w:rsidRPr="00020F0E" w:rsidTr="00677BC3">
        <w:trPr>
          <w:trHeight w:val="78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8BE" w:rsidRPr="003D28BE" w:rsidRDefault="003D28BE" w:rsidP="00677BC3">
            <w:pPr>
              <w:ind w:firstLine="0"/>
              <w:jc w:val="lef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D28B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№</w:t>
            </w:r>
            <w:proofErr w:type="spellStart"/>
            <w:proofErr w:type="gramStart"/>
            <w:r w:rsidRPr="003D28B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3D28B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/</w:t>
            </w:r>
            <w:proofErr w:type="spellStart"/>
            <w:r w:rsidRPr="003D28B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8BE" w:rsidRPr="003D28BE" w:rsidRDefault="003D28BE" w:rsidP="003D28BE">
            <w:pPr>
              <w:ind w:firstLine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Место </w:t>
            </w:r>
            <w:r w:rsidRPr="003D28B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размещения НТО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D28BE" w:rsidRPr="003D28BE" w:rsidRDefault="003D28BE" w:rsidP="003D28BE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Т</w:t>
            </w:r>
            <w:r w:rsidRPr="003D28B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ип объекта 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8BE" w:rsidRPr="003D28BE" w:rsidRDefault="003D28BE" w:rsidP="003D28BE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</w:t>
            </w:r>
            <w:r w:rsidRPr="003D28B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пециализация</w:t>
            </w:r>
          </w:p>
        </w:tc>
        <w:tc>
          <w:tcPr>
            <w:tcW w:w="3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8BE" w:rsidRPr="003D28BE" w:rsidRDefault="003D28BE" w:rsidP="003D28BE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</w:t>
            </w:r>
            <w:r w:rsidRPr="003D28B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азмер торговой площади </w:t>
            </w:r>
            <w:r w:rsidR="00677BC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(</w:t>
            </w:r>
            <w:r w:rsidRPr="003D28B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кв.м.</w:t>
            </w:r>
            <w:r w:rsidR="00677BC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3D28BE" w:rsidRPr="00FC6264" w:rsidTr="00677BC3">
        <w:trPr>
          <w:trHeight w:val="987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8BE" w:rsidRPr="00677BC3" w:rsidRDefault="003D28BE" w:rsidP="00677BC3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28BE" w:rsidRPr="00677BC3" w:rsidRDefault="003D28BE" w:rsidP="00677BC3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77BC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8BE" w:rsidRPr="00677BC3" w:rsidRDefault="003D28BE" w:rsidP="003D28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7B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пос. Донское, ул. </w:t>
            </w:r>
            <w:proofErr w:type="gramStart"/>
            <w:r w:rsidRPr="00677BC3">
              <w:rPr>
                <w:rFonts w:ascii="Times New Roman" w:hAnsi="Times New Roman"/>
                <w:color w:val="000000"/>
                <w:sz w:val="24"/>
                <w:szCs w:val="24"/>
              </w:rPr>
              <w:t>Садовая</w:t>
            </w:r>
            <w:proofErr w:type="gramEnd"/>
            <w:r w:rsidRPr="00677BC3">
              <w:rPr>
                <w:rFonts w:ascii="Times New Roman" w:hAnsi="Times New Roman"/>
                <w:color w:val="000000"/>
                <w:sz w:val="24"/>
                <w:szCs w:val="24"/>
              </w:rPr>
              <w:t>, возле торгового центра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D28BE" w:rsidRPr="00677BC3" w:rsidRDefault="003D28BE" w:rsidP="003D28BE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7BC3">
              <w:rPr>
                <w:rFonts w:ascii="Times New Roman" w:hAnsi="Times New Roman"/>
                <w:color w:val="000000"/>
                <w:sz w:val="24"/>
                <w:szCs w:val="24"/>
              </w:rPr>
              <w:t>павильон</w:t>
            </w:r>
          </w:p>
        </w:tc>
        <w:tc>
          <w:tcPr>
            <w:tcW w:w="1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8BE" w:rsidRPr="00677BC3" w:rsidRDefault="003D28BE" w:rsidP="003D28BE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7BC3">
              <w:rPr>
                <w:rFonts w:ascii="Times New Roman" w:hAnsi="Times New Roman"/>
                <w:color w:val="000000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8BE" w:rsidRPr="00677BC3" w:rsidRDefault="003D28BE" w:rsidP="003D28B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7BC3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</w:tr>
    </w:tbl>
    <w:p w:rsidR="003D4354" w:rsidRDefault="003D4354"/>
    <w:sectPr w:rsidR="003D4354" w:rsidSect="003D43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BF5202"/>
    <w:multiLevelType w:val="hybridMultilevel"/>
    <w:tmpl w:val="CFC0B06A"/>
    <w:lvl w:ilvl="0" w:tplc="6DC23C30">
      <w:start w:val="1"/>
      <w:numFmt w:val="decimal"/>
      <w:lvlText w:val="%1."/>
      <w:lvlJc w:val="left"/>
      <w:pPr>
        <w:ind w:left="720" w:hanging="360"/>
      </w:pPr>
      <w:rPr>
        <w:b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26AB"/>
    <w:rsid w:val="00184E9C"/>
    <w:rsid w:val="002148FF"/>
    <w:rsid w:val="0039356C"/>
    <w:rsid w:val="003A38FE"/>
    <w:rsid w:val="003A49CB"/>
    <w:rsid w:val="003D28BE"/>
    <w:rsid w:val="003D4354"/>
    <w:rsid w:val="004472A9"/>
    <w:rsid w:val="004C16D5"/>
    <w:rsid w:val="004E5025"/>
    <w:rsid w:val="00586FEF"/>
    <w:rsid w:val="0059360A"/>
    <w:rsid w:val="005B11D3"/>
    <w:rsid w:val="00677BC3"/>
    <w:rsid w:val="00735AC4"/>
    <w:rsid w:val="008A66CA"/>
    <w:rsid w:val="008C4409"/>
    <w:rsid w:val="008D68EF"/>
    <w:rsid w:val="008E76C6"/>
    <w:rsid w:val="00AE0A94"/>
    <w:rsid w:val="00AE2B38"/>
    <w:rsid w:val="00BF138D"/>
    <w:rsid w:val="00C126AB"/>
    <w:rsid w:val="00C452B5"/>
    <w:rsid w:val="00D530E1"/>
    <w:rsid w:val="00DE3B39"/>
    <w:rsid w:val="00F0794A"/>
    <w:rsid w:val="00F201A3"/>
    <w:rsid w:val="00F328EF"/>
    <w:rsid w:val="00F33784"/>
    <w:rsid w:val="00F43F84"/>
    <w:rsid w:val="00F90994"/>
    <w:rsid w:val="00FB40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6AB"/>
    <w:pPr>
      <w:widowControl w:val="0"/>
      <w:suppressAutoHyphens/>
      <w:autoSpaceDE w:val="0"/>
      <w:ind w:firstLine="720"/>
    </w:pPr>
    <w:rPr>
      <w:rFonts w:ascii="Arial" w:eastAsia="Times New Roman" w:hAnsi="Arial" w:cs="Arial"/>
      <w:sz w:val="16"/>
      <w:szCs w:val="16"/>
      <w:lang w:eastAsia="ar-SA"/>
    </w:rPr>
  </w:style>
  <w:style w:type="paragraph" w:styleId="1">
    <w:name w:val="heading 1"/>
    <w:basedOn w:val="a"/>
    <w:next w:val="a"/>
    <w:link w:val="10"/>
    <w:qFormat/>
    <w:rsid w:val="00C126AB"/>
    <w:pPr>
      <w:keepNext/>
      <w:widowControl/>
      <w:suppressAutoHyphens w:val="0"/>
      <w:autoSpaceDE/>
      <w:ind w:firstLine="0"/>
      <w:jc w:val="center"/>
      <w:outlineLvl w:val="0"/>
    </w:pPr>
    <w:rPr>
      <w:rFonts w:ascii="Times New Roman" w:eastAsia="Arial Unicode MS" w:hAnsi="Times New Roman" w:cs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26AB"/>
    <w:rPr>
      <w:rFonts w:ascii="Times New Roman" w:eastAsia="Arial Unicode MS" w:hAnsi="Times New Roman" w:cs="Times New Roman"/>
      <w:b/>
      <w:sz w:val="28"/>
      <w:szCs w:val="24"/>
      <w:lang w:eastAsia="ru-RU"/>
    </w:rPr>
  </w:style>
  <w:style w:type="paragraph" w:styleId="a3">
    <w:name w:val="No Spacing"/>
    <w:uiPriority w:val="1"/>
    <w:qFormat/>
    <w:rsid w:val="00C126AB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C126AB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8C4409"/>
    <w:pPr>
      <w:widowControl w:val="0"/>
      <w:autoSpaceDE w:val="0"/>
      <w:autoSpaceDN w:val="0"/>
      <w:jc w:val="left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3A38FE"/>
    <w:rPr>
      <w:rFonts w:ascii="Times New Roman" w:hAnsi="Times New Roman" w:cs="Times New Roman" w:hint="default"/>
      <w:color w:val="0066CC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vetlogorsk39.ru" TargetMode="External"/><Relationship Id="rId5" Type="http://schemas.openxmlformats.org/officeDocument/2006/relationships/hyperlink" Target="consultantplus://offline/ref=CC98185C2D8C46D5050400255F5A458EEA4C02884913F2EF22BA724A94A2E55Ar9B6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700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a.krezhanovskaya</dc:creator>
  <cp:keywords/>
  <dc:description/>
  <cp:lastModifiedBy>a.krezhanovskaya</cp:lastModifiedBy>
  <cp:revision>11</cp:revision>
  <cp:lastPrinted>2018-12-05T15:14:00Z</cp:lastPrinted>
  <dcterms:created xsi:type="dcterms:W3CDTF">2018-12-04T10:02:00Z</dcterms:created>
  <dcterms:modified xsi:type="dcterms:W3CDTF">2018-12-10T15:47:00Z</dcterms:modified>
</cp:coreProperties>
</file>