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Проект</w:t>
      </w:r>
      <w:r>
        <w:rPr>
          <w:rFonts w:ascii="Times New Roman" w:hAnsi="Times New Roman" w:cs="Times New Roman"/>
          <w:sz w:val="26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</w:rPr>
      </w:r>
      <w:r/>
    </w:p>
    <w:p>
      <w:pPr>
        <w:pStyle w:val="841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color w:val="000000"/>
        </w:rPr>
      </w:r>
      <w:r/>
    </w:p>
    <w:p>
      <w:pPr>
        <w:pStyle w:val="841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rStyle w:val="838"/>
          <w:b/>
          <w:bCs/>
          <w:color w:val="00000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муниципального образования «Светлогорский городской округ» от 30.08.2021 № 43</w:t>
      </w:r>
      <w:r/>
    </w:p>
    <w:p>
      <w:pPr>
        <w:pStyle w:val="842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</w:rPr>
      </w:r>
      <w:r/>
    </w:p>
    <w:p>
      <w:pPr>
        <w:pStyle w:val="843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0"/>
          <w:color w:val="000000"/>
        </w:rPr>
      </w:r>
      <w:r>
        <w:rPr>
          <w:rStyle w:val="840"/>
          <w:color w:val="000000"/>
        </w:rPr>
        <w:t xml:space="preserve">В соответствии с Федеральным законом</w:t>
      </w:r>
      <w:r>
        <w:rPr>
          <w:rStyle w:val="840"/>
          <w:color w:val="000000"/>
        </w:rPr>
        <w:t xml:space="preserve"> от 31.07.2</w:t>
      </w:r>
      <w:r>
        <w:rPr>
          <w:rStyle w:val="840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color w:val="000000"/>
        </w:rPr>
      </w:r>
      <w:r/>
    </w:p>
    <w:p>
      <w:r/>
      <w:r/>
    </w:p>
    <w:p>
      <w:pPr>
        <w:pStyle w:val="843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38"/>
          <w:b/>
          <w:bCs/>
          <w:color w:val="000000"/>
          <w:sz w:val="28"/>
          <w:szCs w:val="28"/>
        </w:rPr>
        <w:t xml:space="preserve">РЕШИЛ:</w:t>
      </w:r>
      <w:r>
        <w:rPr>
          <w:color w:val="000000"/>
        </w:rPr>
      </w:r>
      <w:r/>
    </w:p>
    <w:p>
      <w:pPr>
        <w:jc w:val="center"/>
        <w:spacing w:lineRule="auto" w:line="254"/>
      </w:pPr>
      <w:r/>
      <w:r/>
    </w:p>
    <w:p>
      <w:pPr>
        <w:pStyle w:val="836"/>
        <w:numPr>
          <w:ilvl w:val="0"/>
          <w:numId w:val="1"/>
        </w:numPr>
        <w:ind w:left="0" w:right="0" w:firstLine="709"/>
        <w:jc w:val="both"/>
        <w:spacing w:lineRule="auto" w:line="264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6.2.2. Положения</w:t>
      </w:r>
      <w:r>
        <w:rPr>
          <w:rFonts w:ascii="Times New Roman" w:hAnsi="Times New Roman" w:cs="Times New Roman" w:eastAsia="Times New Roman"/>
          <w:b/>
          <w:sz w:val="24"/>
        </w:rPr>
        <w:t xml:space="preserve"> о муниципальном контроле в сфере благоустройства на территории муниципального образования «Светлогорский городской округ» утверждённого решением окружного Совета депутатов муниципального образования «Светлогорский городской округ» от 30.08.2021 года № 43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дополнив его подпунктом 5 со следующим содержанием: «инструментальное обследование».</w:t>
      </w:r>
      <w:r/>
    </w:p>
    <w:p>
      <w:pPr>
        <w:pStyle w:val="836"/>
        <w:numPr>
          <w:ilvl w:val="0"/>
          <w:numId w:val="1"/>
        </w:numPr>
        <w:ind w:left="0" w:right="0" w:firstLine="709"/>
        <w:jc w:val="both"/>
        <w:spacing w:lineRule="auto" w:line="264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6.3.2. Положения</w:t>
      </w:r>
      <w:r>
        <w:rPr>
          <w:rFonts w:ascii="Times New Roman" w:hAnsi="Times New Roman" w:cs="Times New Roman" w:eastAsia="Times New Roman"/>
          <w:b/>
          <w:sz w:val="24"/>
        </w:rPr>
        <w:t xml:space="preserve"> о муниципальном контроле в сфере благоустройства на территории муниципального образования «Светлогорский городской округ» утверждённого решением окружного Совета депутатов муниципального образования «Светлогорский городской округ» от 30.08.2021 года № 43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</w:p>
    <w:p>
      <w:pPr>
        <w:pStyle w:val="836"/>
        <w:numPr>
          <w:ilvl w:val="0"/>
          <w:numId w:val="1"/>
        </w:numPr>
        <w:ind w:left="0" w:right="0" w:firstLine="709"/>
        <w:jc w:val="both"/>
        <w:spacing w:lineRule="auto" w:line="264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6.5.2. Положения</w:t>
      </w:r>
      <w:r>
        <w:rPr>
          <w:rFonts w:ascii="Times New Roman" w:hAnsi="Times New Roman" w:cs="Times New Roman" w:eastAsia="Times New Roman"/>
          <w:b/>
          <w:sz w:val="24"/>
        </w:rPr>
        <w:t xml:space="preserve"> о муниципальном контроле в сфере благоустройства на территории муниципального образования «Светлогорский городской округ» утверждённого решением окружного Совета депутатов муниципального образования «Светлогорский городской округ» от 30.08.2021 года № 43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pStyle w:val="836"/>
        <w:numPr>
          <w:ilvl w:val="0"/>
          <w:numId w:val="1"/>
        </w:numPr>
        <w:ind w:left="0" w:right="0" w:firstLine="709"/>
        <w:jc w:val="both"/>
        <w:spacing w:lineRule="auto" w:line="264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 Внести изменение в Положение о </w:t>
      </w:r>
      <w:r>
        <w:rPr>
          <w:rFonts w:ascii="Times New Roman" w:hAnsi="Times New Roman" w:cs="Times New Roman" w:eastAsia="Times New Roman"/>
          <w:b/>
          <w:sz w:val="24"/>
        </w:rPr>
        <w:t xml:space="preserve">муниципальном контроле в сфере благоустройства на территории муниципального образования «Светлогорский городской округ» утверждённого решением окружного Совета депутатов муниципального образования «Светлогорский городской округ» от 30.08.2021 года № 43,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добавив раздел 9 - Ключевые показатели эффективности и результативности муниципального контроля в сфере благоустройства, со следующим содержанием:</w:t>
      </w:r>
      <w:r/>
    </w:p>
    <w:p>
      <w:pPr>
        <w:pStyle w:val="836"/>
        <w:numPr>
          <w:ilvl w:val="1"/>
          <w:numId w:val="10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контроля </w:t>
      </w:r>
      <w:r>
        <w:rPr>
          <w:rFonts w:ascii="Times New Roman" w:hAnsi="Times New Roman" w:cs="Times New Roman"/>
          <w:b/>
          <w:sz w:val="24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b/>
          <w:sz w:val="24"/>
          <w:szCs w:val="28"/>
        </w:rPr>
        <w:t xml:space="preserve">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b/>
          <w:sz w:val="24"/>
        </w:rPr>
      </w:r>
      <w:r/>
    </w:p>
    <w:p>
      <w:pPr>
        <w:pStyle w:val="836"/>
        <w:numPr>
          <w:ilvl w:val="1"/>
          <w:numId w:val="10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контроля </w:t>
      </w:r>
      <w:r>
        <w:rPr>
          <w:rFonts w:ascii="Times New Roman" w:hAnsi="Times New Roman" w:cs="Times New Roman"/>
          <w:b/>
          <w:sz w:val="24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b/>
          <w:sz w:val="24"/>
          <w:szCs w:val="28"/>
        </w:rPr>
        <w:t xml:space="preserve">являются: </w:t>
      </w:r>
      <w:r>
        <w:rPr>
          <w:b/>
          <w:sz w:val="24"/>
        </w:rPr>
      </w:r>
      <w:r/>
    </w:p>
    <w:p>
      <w:pPr>
        <w:pStyle w:val="836"/>
        <w:numPr>
          <w:ilvl w:val="0"/>
          <w:numId w:val="9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b/>
          <w:sz w:val="24"/>
        </w:rPr>
      </w:r>
      <w:r/>
    </w:p>
    <w:p>
      <w:pPr>
        <w:pStyle w:val="836"/>
        <w:numPr>
          <w:ilvl w:val="0"/>
          <w:numId w:val="9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b/>
          <w:sz w:val="24"/>
        </w:rPr>
      </w:r>
      <w:r/>
    </w:p>
    <w:p>
      <w:pPr>
        <w:pStyle w:val="836"/>
        <w:numPr>
          <w:ilvl w:val="1"/>
          <w:numId w:val="10"/>
        </w:numPr>
        <w:ind w:left="0" w:firstLine="851"/>
        <w:jc w:val="both"/>
        <w:spacing w:lineRule="auto" w:line="2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b/>
          <w:sz w:val="24"/>
        </w:rPr>
      </w:r>
      <w:r/>
    </w:p>
    <w:p>
      <w:pPr>
        <w:pStyle w:val="836"/>
        <w:numPr>
          <w:ilvl w:val="1"/>
          <w:numId w:val="10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</w:t>
      </w:r>
      <w:r>
        <w:rPr>
          <w:rFonts w:ascii="Times New Roman" w:hAnsi="Times New Roman" w:cs="Times New Roman"/>
          <w:b/>
          <w:sz w:val="24"/>
          <w:szCs w:val="28"/>
        </w:rPr>
        <w:t xml:space="preserve">вных правовых актов, принятых в предыдущих отчетных периодах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36"/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 </w:t>
      </w:r>
      <w:r>
        <w:rPr>
          <w:b/>
          <w:sz w:val="24"/>
        </w:rPr>
      </w:r>
      <w:r/>
    </w:p>
    <w:p>
      <w:pPr>
        <w:pStyle w:val="836"/>
        <w:numPr>
          <w:ilvl w:val="1"/>
          <w:numId w:val="10"/>
        </w:numPr>
        <w:ind w:left="0" w:firstLine="851"/>
        <w:jc w:val="both"/>
        <w:spacing w:lineRule="auto" w:line="264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Style w:val="844"/>
          <w:rFonts w:ascii="Times New Roman" w:hAnsi="Times New Roman" w:cs="Times New Roman" w:eastAsia="Times New Roman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 </w:t>
      </w:r>
      <w:r>
        <w:rPr>
          <w:rStyle w:val="844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</w:t>
      </w: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постоянную комиссию по вопросам жилищно-коммунального хозяйства, строительства и благоустройства (А.В. </w:t>
      </w: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Мойса</w:t>
      </w:r>
      <w:r>
        <w:rPr>
          <w:rStyle w:val="84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).</w:t>
      </w:r>
      <w:r>
        <w:rPr>
          <w:rStyle w:val="844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  <w:t xml:space="preserve"> </w:t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Style w:val="844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0" w:tooltip="http://www.svetlogorsk39.ru" w:history="1">
        <w:r>
          <w:rPr>
            <w:rStyle w:val="814"/>
            <w:rFonts w:ascii="Times New Roman" w:hAnsi="Times New Roman" w:cs="Times New Roman" w:eastAsia="Calibri"/>
            <w:b/>
            <w:color w:val="auto"/>
            <w:sz w:val="24"/>
            <w:szCs w:val="24"/>
            <w:u w:val="none"/>
          </w:rPr>
          <w:t xml:space="preserve">www.svetlogorsk39.ru</w:t>
        </w:r>
      </w:hyperlink>
      <w:r>
        <w:rPr>
          <w:rFonts w:ascii="Times New Roman" w:hAnsi="Times New Roman" w:cs="Times New Roman" w:eastAsia="Calibri"/>
          <w:b/>
          <w:sz w:val="24"/>
          <w:szCs w:val="24"/>
        </w:rPr>
        <w:t xml:space="preserve">.</w:t>
      </w:r>
      <w:r>
        <w:rPr>
          <w:rStyle w:val="844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/>
    </w:p>
    <w:p>
      <w:pPr>
        <w:pStyle w:val="836"/>
        <w:numPr>
          <w:ilvl w:val="0"/>
          <w:numId w:val="1"/>
        </w:numPr>
        <w:ind w:left="0" w:right="0" w:firstLine="850"/>
        <w:jc w:val="both"/>
        <w:spacing w:lineRule="auto" w:line="264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Решение вступает в силу после его официального опубликования. </w:t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/>
    </w:p>
    <w:p>
      <w:pPr>
        <w:ind w:left="850" w:right="0" w:firstLine="0"/>
        <w:jc w:val="both"/>
        <w:spacing w:lineRule="auto" w:line="254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sz w:val="24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lang w:eastAsia="ar-SA"/>
        </w:rPr>
      </w:r>
      <w:r/>
    </w:p>
    <w:p>
      <w:pPr>
        <w:ind w:left="0" w:right="0" w:firstLine="0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85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8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/>
    </w:p>
    <w:p>
      <w:pPr>
        <w:ind w:left="851" w:firstLine="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  <w:r/>
    </w:p>
    <w:p>
      <w:pPr>
        <w:ind w:left="709" w:right="0" w:firstLine="0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7">
    <w:name w:val="Heading 1 Char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2"/>
    <w:next w:val="832"/>
    <w:link w:val="65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9">
    <w:name w:val="Heading 2 Char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2"/>
    <w:next w:val="832"/>
    <w:link w:val="66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1">
    <w:name w:val="Heading 3 Char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2"/>
    <w:next w:val="832"/>
    <w:link w:val="6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3">
    <w:name w:val="Heading 4 Char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5">
    <w:name w:val="Heading 5 Char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7">
    <w:name w:val="Heading 6 Char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9">
    <w:name w:val="Heading 7 Char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1">
    <w:name w:val="Heading 8 Char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>
    <w:name w:val="Heading 9 Char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>
    <w:name w:val="Grid Table 4 - Accent 1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8">
    <w:name w:val="Grid Table 4 - Accent 2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9">
    <w:name w:val="Grid Table 4 - Accent 3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0">
    <w:name w:val="Grid Table 4 - Accent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1">
    <w:name w:val="Grid Table 4 - Accent 5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2">
    <w:name w:val="Grid Table 4 - Accent 6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3">
    <w:name w:val="Grid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4">
    <w:name w:val="Grid Table 5 Dark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7">
    <w:name w:val="Grid Table 5 Dark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0">
    <w:name w:val="Grid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2">
    <w:name w:val="List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3">
    <w:name w:val="List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4">
    <w:name w:val="List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5">
    <w:name w:val="List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6">
    <w:name w:val="List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7">
    <w:name w:val="List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8">
    <w:name w:val="List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0">
    <w:name w:val="List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1">
    <w:name w:val="List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2">
    <w:name w:val="List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3">
    <w:name w:val="List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4">
    <w:name w:val="List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5">
    <w:name w:val="List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6">
    <w:name w:val="List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4">
    <w:name w:val="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5">
    <w:name w:val="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6">
    <w:name w:val="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7">
    <w:name w:val="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8">
    <w:name w:val="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9">
    <w:name w:val="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0">
    <w:name w:val="Bordered &amp; 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1">
    <w:name w:val="Bordered &amp; 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2">
    <w:name w:val="Bordered &amp; 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3">
    <w:name w:val="Bordered &amp; 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4">
    <w:name w:val="Bordered &amp; 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5">
    <w:name w:val="Bordered &amp; 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6">
    <w:name w:val="Bordered &amp; 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7">
    <w:name w:val="Bordered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8">
    <w:name w:val="Bordered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9">
    <w:name w:val="Bordered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0">
    <w:name w:val="Bordered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1">
    <w:name w:val="Bordered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2">
    <w:name w:val="Bordered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3">
    <w:name w:val="Bordered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rPr>
      <w:sz w:val="18"/>
    </w:rPr>
    <w:pPr>
      <w:spacing w:lineRule="auto" w:line="240" w:after="40"/>
    </w:p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rPr>
      <w:sz w:val="20"/>
    </w:rPr>
    <w:pPr>
      <w:spacing w:lineRule="auto" w:line="240" w:after="0"/>
    </w:p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qFormat/>
    <w:uiPriority w:val="1"/>
    <w:pPr>
      <w:spacing w:lineRule="auto" w:line="240" w:after="0"/>
    </w:pPr>
  </w:style>
  <w:style w:type="paragraph" w:styleId="836">
    <w:name w:val="List Paragraph"/>
    <w:basedOn w:val="832"/>
    <w:qFormat/>
    <w:uiPriority w:val="34"/>
    <w:pPr>
      <w:contextualSpacing w:val="true"/>
      <w:ind w:left="720"/>
    </w:pPr>
  </w:style>
  <w:style w:type="character" w:styleId="837" w:default="1">
    <w:name w:val="Default Paragraph Font"/>
    <w:uiPriority w:val="1"/>
    <w:semiHidden/>
    <w:unhideWhenUsed/>
  </w:style>
  <w:style w:type="character" w:styleId="838" w:customStyle="1">
    <w:name w:val="pt-a1-000004"/>
  </w:style>
  <w:style w:type="character" w:styleId="839" w:customStyle="1">
    <w:name w:val="pt-000006"/>
  </w:style>
  <w:style w:type="character" w:styleId="840" w:customStyle="1">
    <w:name w:val="pt-a1-000007"/>
  </w:style>
  <w:style w:type="paragraph" w:styleId="841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2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43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44" w:customStyle="1">
    <w:name w:val="pt-000013"/>
  </w:style>
  <w:style w:type="character" w:styleId="845" w:customStyle="1">
    <w:name w:val="pt-a1"/>
    <w:basedOn w:val="833"/>
  </w:style>
  <w:style w:type="paragraph" w:styleId="846" w:customStyle="1">
    <w:name w:val="pt-000018"/>
    <w:basedOn w:val="83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vetlogorsk3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2022-02-03T09:53:18Z</dcterms:modified>
</cp:coreProperties>
</file>