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от 24 февраля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51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Об утверждении Положения «О порядке и условиях проведения конкурса на замещение должности главы администрации Светлогорского района»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Рассмотрев и обсудив проект Положения «О порядке и условиях проведения конкурса на замещение должности главы администрации Светлогорского района», руководствуясь ст. 37 Федерального закона от 06.10.2003 г. № 131-ФЗ «Об общих принципах организации местного самоуправления в Российской Федерации», в соответствии со ст. 37 Устава муниципального образования «Светлогорский район», районный Совет депутатов Светлогорского района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решил: </w:t>
      </w:r>
    </w:p>
    <w:p w:rsidR="00DC3ECE" w:rsidRDefault="00DC3ECE" w:rsidP="00DC3ECE">
      <w:pPr>
        <w:pStyle w:val="a3"/>
      </w:pPr>
      <w:bookmarkStart w:id="0" w:name="sub_1"/>
      <w:r>
        <w:rPr>
          <w:sz w:val="20"/>
          <w:szCs w:val="20"/>
        </w:rPr>
        <w:t xml:space="preserve">1. Утвердить Положение «О порядке и условиях проведения конкурса на замещение должности главы администрации Светлогорского района» (Приложение). </w:t>
      </w:r>
      <w:bookmarkEnd w:id="0"/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2. Направить обращение Губернатору Калининградской области Г.В. Боосу и в Калининградскую областную Думу С.В. Булычеву для назначения ими в установленном порядке трех членов конкурсной комиссии по проведению конкурса на замещение должности главы администрации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 Настоящее решение опубликовать в газете «Вестник Светлогорска».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 Настоящее решение вступает в силу со дня опубликования.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DC3ECE" w:rsidRDefault="00DC3EC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sub_1000"/>
      <w:bookmarkEnd w:id="1"/>
      <w:r>
        <w:rPr>
          <w:sz w:val="20"/>
          <w:szCs w:val="20"/>
        </w:rPr>
        <w:br w:type="page"/>
      </w:r>
    </w:p>
    <w:p w:rsidR="00DC3ECE" w:rsidRDefault="00DC3ECE" w:rsidP="00DC3ECE">
      <w:pPr>
        <w:pStyle w:val="a3"/>
        <w:jc w:val="right"/>
      </w:pPr>
      <w:bookmarkStart w:id="2" w:name="_GoBack"/>
      <w:bookmarkEnd w:id="2"/>
      <w:r>
        <w:rPr>
          <w:sz w:val="20"/>
          <w:szCs w:val="20"/>
        </w:rPr>
        <w:lastRenderedPageBreak/>
        <w:t xml:space="preserve">Приложение к </w:t>
      </w:r>
      <w:hyperlink r:id="rId4" w:anchor="sub_0" w:history="1">
        <w:r>
          <w:rPr>
            <w:rStyle w:val="a4"/>
            <w:sz w:val="20"/>
            <w:szCs w:val="20"/>
          </w:rPr>
          <w:t>решению</w:t>
        </w:r>
      </w:hyperlink>
      <w:r>
        <w:rPr>
          <w:sz w:val="20"/>
          <w:szCs w:val="20"/>
        </w:rPr>
        <w:t xml:space="preserve"> </w:t>
      </w:r>
    </w:p>
    <w:p w:rsidR="00DC3ECE" w:rsidRDefault="00DC3ECE" w:rsidP="00DC3ECE">
      <w:pPr>
        <w:pStyle w:val="a3"/>
        <w:jc w:val="right"/>
      </w:pPr>
      <w:r>
        <w:rPr>
          <w:sz w:val="20"/>
          <w:szCs w:val="20"/>
        </w:rPr>
        <w:t xml:space="preserve">районного Совета депутатов </w:t>
      </w:r>
    </w:p>
    <w:p w:rsidR="00DC3ECE" w:rsidRDefault="00DC3ECE" w:rsidP="00DC3ECE">
      <w:pPr>
        <w:pStyle w:val="a3"/>
        <w:jc w:val="right"/>
      </w:pPr>
      <w:r>
        <w:rPr>
          <w:sz w:val="20"/>
          <w:szCs w:val="20"/>
        </w:rPr>
        <w:t xml:space="preserve">Светлогорского района </w:t>
      </w:r>
    </w:p>
    <w:p w:rsidR="00DC3ECE" w:rsidRDefault="00DC3ECE" w:rsidP="00DC3ECE">
      <w:pPr>
        <w:pStyle w:val="a3"/>
        <w:jc w:val="right"/>
      </w:pPr>
      <w:r>
        <w:rPr>
          <w:sz w:val="20"/>
          <w:szCs w:val="20"/>
        </w:rPr>
        <w:t xml:space="preserve">от 24 февраля 2010 г. № 51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ПОЛОЖЕНИЕ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«О порядке и условиях проведения конкурса на замещение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должности главы администрации Светлогорского района»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I. Общие положения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1.1. Настоящее Положение (далее по тексту - Положение) разработано в соответствии с федеральным законодательством, законодательством Калининградской области и Уставом муниципального образования «Светлогорский район» и определяет порядок и условия проведения конкурса на замещение должности главы администрации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1.2. Целью проведения конкурса является отбор наиболее подготовленных лиц, имеющих необходимое образование, профессиональные знания, опыт руководящей работы и соответствующий возраст, способных по своим личностным и деловым качествам осуществлять руководство администрацией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1.3. Условия конкурса, сведения о дате, времени и месте его проведения, проект контракта с главой администрации Светлогорского района подлежат обязательному опубликованию в средствах массовой информации не позднее, чем за 20 дней до дня проведения конкурса.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1.4. Рассмотрение документов, представленных на конкурс, осуществляет конкурсная комиссия.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II. Подготовка конкурса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2.1. Районный Совет депутатов Светлогорского района принимает решение о проведении конкурса на замещение должности главы администрации Светлогорского района, в котором определяется дата, время и место проведения конкурса, условия конкурса, срок публикации объявления о проведении конкурса, персональный состав конкурсной комиссии, проект контракта с главой администрации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2.2. Объявление о проведении конкурса подлежит обязательному опубликованию в средствах массовой информации не позднее, чем за 20 дней до дня проведения конкурса.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В объявлении указываются: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сведения о дате, времени и месте проведения конкурса;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проект контракта;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место (адрес), срок представления и перечень документов, необходимых для участия в конкурсе;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место ознакомления кандидатов с нормативными документами и получения бланков документов установленного образца.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III. Статус конкурсной комиссии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3.1. Конкурс на замещение должности главы администрации Светлогорского района проводит конкурсная комиссия (далее по тексту - Комиссия), которая непосредственно осуществляет подготовку и проведение конкурса на замещение должности главы администрации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3.2. Комиссия формируется на срок проведения конкурса. Общее число членов Комиссии составляет 9 человек.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Комиссия по проведению конкурса на замещение должности главы администрации Светлогорского района устанавливается районным Советом депутатов в составе 9 человек, две трети Комиссии назначаются районным Советом депутатов из числа депутатов, одна треть – Калининградской областной Думой по представлению </w:t>
      </w:r>
      <w:r>
        <w:rPr>
          <w:sz w:val="20"/>
          <w:szCs w:val="20"/>
        </w:rPr>
        <w:lastRenderedPageBreak/>
        <w:t xml:space="preserve">Губернатора Калининградской области. Комиссия состоит из председателя, заместителя председателя, секретаря и других членов Комиссии. Заместитель председателя и секретарь Комиссии избираются на заседании районного Совета депутатов из числа членов Комиссии.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Председателем Комиссии является глава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3.3. В своей деятельности Комиссия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иными законодательными актами Российской Федерации и Калининградской области, Уставом муниципального образования «Светлогорский район», а также настоящим Положением.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3.4. Основными задачами Комиссии при проведении конкурса на замещение должности главы администрации Светлогорского района являются: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обеспечение соблюдения равных условий конкурса для каждого из кандидатов;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рассмотрение документов, представленных на конкурс;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выработка единого и согласованного мнения по кандидатурам, представившим документы для участия в конкурсе;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определение результатов конкурса.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3.5. 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подписывает совместно с председателем протоколы заседаний и решения Комиссии.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3.6. Заседание Комиссии считается правомочным, если на нем присутствует не менее 2/3 от установленного числа членов Комиссии.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Члены Комиссии участвуют в ее заседаниях лично и не вправе передавать свои полномочия другому лицу.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3.7. Решения Комиссии принимаются путем открытого голосования и подписываются председателем и секретарем Комиссии.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IV. Порядок выдвижения кандидатов и представления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в комиссию документов кандидатами на замещение должности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главы администрации Светлогорского района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4.1. Граждане Российской Федерации могут быть выдвинуты на должность главы администрации Светлогорского района: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органами государственной власти;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органами местного самоуправления;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коллективами предприятий, учреждений, организаций;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>- избирательными объединениями, избирательными блоками;</w:t>
      </w:r>
      <w:r>
        <w:rPr>
          <w:i/>
          <w:iCs/>
          <w:sz w:val="20"/>
          <w:szCs w:val="20"/>
          <w:u w:val="single"/>
        </w:rPr>
        <w:t xml:space="preserve">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lastRenderedPageBreak/>
        <w:t xml:space="preserve">- путем самовыдвижения.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В случаях, когда инициатором выдвижения гражданина на должность главы администрации Светлогорского района являются коллективы предприятий, учреждений, организаций, выдвижение осуществляется на собраниях (конференциях) указанных предприятий, учреждений, организаций.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4.2. К кандидату на должность главы администрации Светлогорского района предъявляются следующие требования: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наличие гражданства Российской Федерации;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наличие высшего образования;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наличие стажа муниципальной или государственной службы (либо замещения выборной муниципальной должности, государственной должности субъекта Российской Федерации или государственной должности Российской Федерации) или стажа работы не менее пяти лет в должности руководителя коммерческой или некоммерческой организации.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Кроме того, к кандидату на должность главы администрации Светлогорского района предъявляются следующие дополнительные требования: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владение государственным языком Российской Федерации;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отсутствие неснятой или непогашенной судимости;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отсутствие вступившего в законную силу приговора суда, осудившего его к наказанию, исключающему возможность исполнения должностных обязанностей по должности муниципальной службы.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4.3. Гражданин, изъявивший желание участвовать в конкурсе, представляет в Комиссию: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личное заявление;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письменное согласие на прохождение процедуры допуска к сведениям, составляющим государственную и иную охраняемую законом тайну;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собственноручно заполненную и подписанную анкету по форме, установленной Распоряжением Правительства РФ от 26.05.2005 N 667-р;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документ, удостоверяющий личность гражданина Российской Федерации;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копии документов об образовании, квалификации, о присвоении ученого звания, ученой степени, заверенные кадровой службой по месту работы или нотариально;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трудовую книжку либо копию трудовой книжки, заверенную кадровой службой по месту работы;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документы воинского учета (для военнообязанных и лиц, подлежащих призыву на военную службу);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медицинское заключение об отсутствии заболеваний, препятствующих поступлению на муниципальную службу;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выписку из протокола собрания (конференции) предприятия, учреждения, организации - в случае выдвижения кандидата коллективами предприятий, учреждений, организаций;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программу (концепцию) эффективного управления муниципальным хозяйством в произвольном формате объемом до 15 страниц машинописного текста.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Все документы, указанные в настоящем пункте, подаются одновременно.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lastRenderedPageBreak/>
        <w:t xml:space="preserve">4.4. Гражданин, желающий участвовать в конкурсе, также вправе представить в Комиссию иные документы, характеризующие его: рекомендательные письма, характеристику с места работы, документы о повышении квалификации, о присвоении ученой степени (звания), о наградах и почетных званиях, об участии в конкурсах на лучшего по профессии и т.п.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4.5. Прием документов на участие в конкурсе осуществляется в течение 15 дней после опубликования решения районного Совета депутатов Светлогорского района о проведении конкурса.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О приеме документов в специальном журнале делается соответствующая регистрационная запись, а претенденту на участие в конкурсе выдается расписка.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Конкурс проводится по истечении пяти дней после окончания срока приема документов.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Комиссия в пределах действующего законодательства вправе запрашивать в соответствующих органах сведения о кандидатах, в том числе с целью проверки документов, представленных участниками конкурса.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Глава Светлогорского района направляет в соответствующие органы сведения о кандидатах, участвующих в конкурсе на замещение должности главы администрации Светлогорского района для проведения проверочных мероприятий в соответствии с законодательством о государственной тайне.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4.6. Кандидат не допускается к участию в конкурсе в случаях: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несоответствия требованиям, установленных пунктом 4.2 настоящего Положения;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непредставления документов и сведений, установленных пунктом 4.3 настоящего Положения;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признания его недееспособным или ограниченно дееспособным решением суда, вступившим в законную силу;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наличия подтвержденного заключением медицинского учреждения заболевания, препятствующего исполнению им должностных обязанностей;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отказа от прохождения процедуры оформления допуска к сведениям, составляющим государственную и иную охраняемую законом тайну;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прекращения гражданства Российской Федерации;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наличия гражданства иностранного государства, за исключением случаев, когда доступ к муниципальной службе урегулирован на взаимной основе межгосударственными соглашениями;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отказа от представления сведений или представления заведомо ложных сведений о доходах, об имуществе и обязательствах имущественного характера;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предоставления подложных документов или заведомо ложных сведений;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в иных случаях, установленных Федеральным законом «О муниципальной службе в Российской Федерации».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4.7. Конкурс на замещение должности главы администрации Светлогорского района проводится при наличии не менее двух кандидатов, допущенных к участию в конкурсе.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V. Порядок проведения конкурса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5.1. Конкурс на замещение должности главы администрации Светлогорского района проводится в форме индивидуального собеседования с каждым кандидатом.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5.2. Критериями оценки кандидатов на должность главы администрации Светлогорского района являются: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знания, умения и навыки по вопросам государственного и муниципального управления, опыт управленческой работы, деловая культура, систематическое повышение профессионального уровня, умение видеть перспективу, инициативность;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lastRenderedPageBreak/>
        <w:t xml:space="preserve">- умение анализировать, мыслить системно, оперативно, принимать оптимальные решения в условиях дефицита информации и времени;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умение руководить подчиненными, координировать и контролировать их деятельность;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целеустремленность, навыки делового общения;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- требовательность к себе и подчиненным, самокритичность.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5.3. При подведении итогов конкурса Комиссия оценивает конкурсантов исходя из представленных ими документов, результатов собеседования, критериев оценки, установленных пунктом 5.2 настоящего Положения, а также с учетом анализа представленных кандидатами программ (концепций) эффективного управления муниципальным хозяйством.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5.4. Решение комиссии принимается путем открытого голосования в отсутствие кандидатов. Решение комиссии считается принятым, если за него проголосовало более половины от установленного числа членов Комиссии. В случае равенства голосов решающим является голос председателя Комиссии.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5.5. Решение Комиссии о результатах конкурса в срок не позднее трех дней со дня подписания представляется в районный Совет депутатов Светлогорского района для принятия решения о назначении на должность главы администрации Светлогорского района.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VI. Порядок назначения на должность главы администрации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Светлогорского района по результатам конкурса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6.1. Лицо назначается на должность главы администрации Светлогорского района районным Советом депутатов из числа кандидатов, представленных Комиссией по результатам конкурса.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6.2. Решение Комиссии выносится на рассмотрение районного Совета депутатов в срок не позднее 10 дней с момента принятия данного решения Комиссией. При необходимости проводится внеочередное заседание районного Совета депутатов.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6.3. Кандидаты, представленные Комиссией, выступают с докладом о программе (концепции) эффективного управления муниципальным хозяйством на заседании районного Совета депутатов.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6.4. Решение районного Совета депутатов о назначении лица на должность главы администрации Светлогорского района принимается путем открытого голосования и считается принятым, если за него проголосовало большинство от установленной численности депутатов районного Совета депутатов.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6.5. Решение районного Совета депутатов о назначении на должность главы администрации Светлогорского района вступает в силу со дня принятия и подлежит опубликованию в газете «Вестник Светлогорска» в течение 10 дней.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6.6. Глава Светлогорского района на основании решения районного Совета депутатов заключает контракт с главой администрации Светлогорского района.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6.7. Глава администрации Светлогорского района приступает к исполнению полномочий со дня подписания контракта, указанного в пункте 6.6 настоящего Положения. </w:t>
      </w:r>
    </w:p>
    <w:p w:rsidR="00DC3ECE" w:rsidRDefault="00DC3ECE" w:rsidP="00DC3ECE">
      <w:pPr>
        <w:pStyle w:val="a3"/>
        <w:jc w:val="center"/>
      </w:pPr>
      <w:r>
        <w:rPr>
          <w:sz w:val="20"/>
          <w:szCs w:val="20"/>
        </w:rPr>
        <w:t xml:space="preserve">VII. Заключительные положения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7.1. Документы Комиссии, сформированные в дело, хранятся в районном Совете депутатов в течение пяти лет с последующей передачей их в архив в установленном порядке. </w:t>
      </w:r>
    </w:p>
    <w:p w:rsidR="00DC3ECE" w:rsidRDefault="00DC3ECE" w:rsidP="00DC3ECE">
      <w:pPr>
        <w:pStyle w:val="a3"/>
      </w:pPr>
      <w:r>
        <w:rPr>
          <w:sz w:val="20"/>
          <w:szCs w:val="20"/>
        </w:rPr>
        <w:t xml:space="preserve">7.2. По вопросам, не урегулированным настоящим Положением, Комиссия принимает решения самостоятельно в соответствии с действующим законодательством.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A"/>
    <w:rsid w:val="00022184"/>
    <w:rsid w:val="00035A30"/>
    <w:rsid w:val="000D740A"/>
    <w:rsid w:val="00D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B1F1-1D2C-429F-81F4-56DC08C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3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-admin.ru/power/soviet/5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</Words>
  <Characters>13789</Characters>
  <Application>Microsoft Office Word</Application>
  <DocSecurity>0</DocSecurity>
  <Lines>114</Lines>
  <Paragraphs>32</Paragraphs>
  <ScaleCrop>false</ScaleCrop>
  <Company>Microsoft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2018-11-16T15:25:00Z</dcterms:created>
  <dcterms:modified xsi:type="dcterms:W3CDTF">2018-11-16T15:25:00Z</dcterms:modified>
</cp:coreProperties>
</file>