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B554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24D1">
        <w:rPr>
          <w:sz w:val="28"/>
          <w:szCs w:val="28"/>
        </w:rPr>
        <w:t xml:space="preserve">02»  июля </w:t>
      </w:r>
      <w:r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6624D1">
        <w:rPr>
          <w:sz w:val="28"/>
          <w:szCs w:val="28"/>
        </w:rPr>
        <w:t xml:space="preserve"> 560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9C72E2" w:rsidRPr="00C92BAD" w:rsidRDefault="009C72E2" w:rsidP="009C72E2">
      <w:pPr>
        <w:jc w:val="center"/>
        <w:rPr>
          <w:b/>
          <w:sz w:val="28"/>
          <w:szCs w:val="28"/>
        </w:rPr>
      </w:pPr>
      <w:r w:rsidRPr="00C92BA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 w:rsidR="00572841">
        <w:rPr>
          <w:b/>
          <w:sz w:val="28"/>
          <w:szCs w:val="28"/>
        </w:rPr>
        <w:t xml:space="preserve">аккумулирования средств заинтересованных лиц, направляемых на выполнение минимального и дополнительного перечня работ по благоустройству дворовых территорий, и механизма </w:t>
      </w:r>
      <w:proofErr w:type="gramStart"/>
      <w:r w:rsidR="00572841">
        <w:rPr>
          <w:b/>
          <w:sz w:val="28"/>
          <w:szCs w:val="28"/>
        </w:rPr>
        <w:t>контроля за</w:t>
      </w:r>
      <w:proofErr w:type="gramEnd"/>
      <w:r w:rsidR="00572841">
        <w:rPr>
          <w:b/>
          <w:sz w:val="28"/>
          <w:szCs w:val="28"/>
        </w:rPr>
        <w:t xml:space="preserve"> их расходованием  </w:t>
      </w:r>
    </w:p>
    <w:p w:rsidR="009C72E2" w:rsidRPr="00C92BAD" w:rsidRDefault="009C72E2" w:rsidP="009C72E2">
      <w:pPr>
        <w:ind w:left="357" w:firstLine="709"/>
        <w:rPr>
          <w:sz w:val="28"/>
          <w:szCs w:val="28"/>
        </w:rPr>
      </w:pPr>
    </w:p>
    <w:p w:rsidR="009C72E2" w:rsidRDefault="009C72E2" w:rsidP="009C72E2">
      <w:pPr>
        <w:keepNext/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C92BAD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C92BAD">
          <w:rPr>
            <w:sz w:val="28"/>
            <w:szCs w:val="28"/>
          </w:rPr>
          <w:t>статьи 179</w:t>
        </w:r>
      </w:hyperlink>
      <w:r w:rsidRPr="00C92BAD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C92BAD">
          <w:rPr>
            <w:sz w:val="28"/>
            <w:szCs w:val="28"/>
          </w:rPr>
          <w:t>статьи 11</w:t>
        </w:r>
      </w:hyperlink>
      <w:r w:rsidRPr="00C92BAD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</w:t>
      </w:r>
      <w:proofErr w:type="gramEnd"/>
      <w:r w:rsidRPr="00C92BAD">
        <w:rPr>
          <w:sz w:val="28"/>
          <w:szCs w:val="28"/>
        </w:rPr>
        <w:t xml:space="preserve">» от </w:t>
      </w:r>
      <w:r w:rsidR="00327AAA">
        <w:rPr>
          <w:sz w:val="28"/>
          <w:szCs w:val="28"/>
        </w:rPr>
        <w:t>26</w:t>
      </w:r>
      <w:r w:rsidRPr="00C92BAD">
        <w:rPr>
          <w:sz w:val="28"/>
          <w:szCs w:val="28"/>
        </w:rPr>
        <w:t xml:space="preserve"> </w:t>
      </w:r>
      <w:r w:rsidR="00327AAA">
        <w:rPr>
          <w:sz w:val="28"/>
          <w:szCs w:val="28"/>
        </w:rPr>
        <w:t xml:space="preserve">марта </w:t>
      </w:r>
      <w:r w:rsidRPr="00C92BAD">
        <w:rPr>
          <w:sz w:val="28"/>
          <w:szCs w:val="28"/>
        </w:rPr>
        <w:t xml:space="preserve"> 2019 года №</w:t>
      </w:r>
      <w:r w:rsidR="00327AAA">
        <w:rPr>
          <w:sz w:val="28"/>
          <w:szCs w:val="28"/>
        </w:rPr>
        <w:t xml:space="preserve"> 258</w:t>
      </w:r>
      <w:r w:rsidRPr="00C92BAD">
        <w:rPr>
          <w:sz w:val="28"/>
          <w:szCs w:val="28"/>
        </w:rPr>
        <w:t xml:space="preserve"> «Об </w:t>
      </w:r>
      <w:r w:rsidR="00327AAA">
        <w:rPr>
          <w:sz w:val="28"/>
          <w:szCs w:val="28"/>
        </w:rPr>
        <w:t>утверждении программы «Формирование современной городской среды</w:t>
      </w:r>
      <w:r w:rsidRPr="00C92BAD">
        <w:rPr>
          <w:sz w:val="28"/>
          <w:szCs w:val="28"/>
        </w:rPr>
        <w:t xml:space="preserve">»,  руководствуясь Уставом муниципального образования «Светлогорский городской округ», администрация МО «Светлогорский городской округ»  </w:t>
      </w:r>
    </w:p>
    <w:p w:rsidR="009C72E2" w:rsidRDefault="009C72E2" w:rsidP="009C72E2">
      <w:pPr>
        <w:keepNext/>
        <w:ind w:right="-5" w:firstLine="708"/>
        <w:jc w:val="center"/>
        <w:outlineLvl w:val="0"/>
        <w:rPr>
          <w:sz w:val="28"/>
          <w:szCs w:val="28"/>
        </w:rPr>
      </w:pPr>
      <w:proofErr w:type="spellStart"/>
      <w:proofErr w:type="gramStart"/>
      <w:r w:rsidRPr="00C92BAD">
        <w:rPr>
          <w:b/>
          <w:sz w:val="28"/>
          <w:szCs w:val="28"/>
        </w:rPr>
        <w:t>п</w:t>
      </w:r>
      <w:proofErr w:type="spellEnd"/>
      <w:proofErr w:type="gramEnd"/>
      <w:r w:rsidRPr="00C92BAD">
        <w:rPr>
          <w:b/>
          <w:sz w:val="28"/>
          <w:szCs w:val="28"/>
        </w:rPr>
        <w:t xml:space="preserve"> о с т а </w:t>
      </w:r>
      <w:proofErr w:type="spellStart"/>
      <w:r w:rsidRPr="00C92BAD">
        <w:rPr>
          <w:b/>
          <w:sz w:val="28"/>
          <w:szCs w:val="28"/>
        </w:rPr>
        <w:t>н</w:t>
      </w:r>
      <w:proofErr w:type="spellEnd"/>
      <w:r w:rsidRPr="00C92BAD">
        <w:rPr>
          <w:b/>
          <w:sz w:val="28"/>
          <w:szCs w:val="28"/>
        </w:rPr>
        <w:t xml:space="preserve"> о в л я е т:</w:t>
      </w:r>
    </w:p>
    <w:p w:rsidR="00D940BC" w:rsidRDefault="00D940BC" w:rsidP="00D940BC">
      <w:pPr>
        <w:jc w:val="both"/>
        <w:rPr>
          <w:b/>
        </w:rPr>
      </w:pPr>
    </w:p>
    <w:p w:rsidR="00327AAA" w:rsidRPr="00327AAA" w:rsidRDefault="00327AAA" w:rsidP="00327AAA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327AAA">
        <w:rPr>
          <w:sz w:val="28"/>
          <w:szCs w:val="28"/>
        </w:rPr>
        <w:t xml:space="preserve">Утвердить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механизма </w:t>
      </w:r>
      <w:proofErr w:type="gramStart"/>
      <w:r w:rsidRPr="00327AAA">
        <w:rPr>
          <w:sz w:val="28"/>
          <w:szCs w:val="28"/>
        </w:rPr>
        <w:t>контроля за</w:t>
      </w:r>
      <w:proofErr w:type="gramEnd"/>
      <w:r w:rsidRPr="00327AAA">
        <w:rPr>
          <w:sz w:val="28"/>
          <w:szCs w:val="28"/>
        </w:rPr>
        <w:t xml:space="preserve"> их расходованием  (приложение № 1).</w:t>
      </w:r>
    </w:p>
    <w:p w:rsidR="00327AAA" w:rsidRDefault="00327AAA" w:rsidP="00327AAA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327AAA">
        <w:rPr>
          <w:sz w:val="28"/>
          <w:szCs w:val="28"/>
        </w:rPr>
        <w:t>Контроль  за</w:t>
      </w:r>
      <w:proofErr w:type="gramEnd"/>
      <w:r w:rsidRPr="00327AAA">
        <w:rPr>
          <w:sz w:val="28"/>
          <w:szCs w:val="28"/>
        </w:rPr>
        <w:t xml:space="preserve"> исполнением постановления</w:t>
      </w:r>
      <w:r w:rsidRPr="0077602B">
        <w:rPr>
          <w:sz w:val="28"/>
          <w:szCs w:val="28"/>
        </w:rPr>
        <w:t xml:space="preserve">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327AAA" w:rsidRPr="0077602B" w:rsidRDefault="00327AAA" w:rsidP="00327AAA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77602B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7" w:history="1">
        <w:r w:rsidRPr="0077602B">
          <w:rPr>
            <w:color w:val="0000FF"/>
            <w:sz w:val="28"/>
            <w:szCs w:val="28"/>
            <w:u w:val="single"/>
          </w:rPr>
          <w:t>www.svetlogorsk39.ru</w:t>
        </w:r>
      </w:hyperlink>
      <w:r w:rsidRPr="0077602B">
        <w:rPr>
          <w:sz w:val="28"/>
          <w:szCs w:val="28"/>
        </w:rPr>
        <w:t>.</w:t>
      </w:r>
    </w:p>
    <w:p w:rsidR="00327AAA" w:rsidRPr="00327AAA" w:rsidRDefault="00327AAA" w:rsidP="00327A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327AAA">
        <w:rPr>
          <w:sz w:val="28"/>
          <w:szCs w:val="28"/>
        </w:rPr>
        <w:t xml:space="preserve">Настоящее постановление вступает в силу со дня его официального опубликования, распространяется на правоотношения, возникшие с 01 января 2019 года. </w:t>
      </w:r>
    </w:p>
    <w:p w:rsidR="00D940BC" w:rsidRDefault="00D940BC" w:rsidP="00327AAA">
      <w:pPr>
        <w:pStyle w:val="a3"/>
        <w:jc w:val="both"/>
        <w:rPr>
          <w:b/>
        </w:rPr>
      </w:pPr>
    </w:p>
    <w:p w:rsidR="00A2038B" w:rsidRPr="00327AAA" w:rsidRDefault="00A2038B" w:rsidP="00327AAA">
      <w:pPr>
        <w:pStyle w:val="a3"/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066C9" w:rsidRDefault="00B066C9" w:rsidP="00B066C9">
      <w:pPr>
        <w:ind w:firstLine="567"/>
        <w:jc w:val="right"/>
      </w:pPr>
    </w:p>
    <w:p w:rsidR="00B066C9" w:rsidRDefault="00B066C9" w:rsidP="00B066C9">
      <w:pPr>
        <w:ind w:firstLine="567"/>
        <w:jc w:val="right"/>
      </w:pPr>
    </w:p>
    <w:p w:rsidR="00B066C9" w:rsidRPr="00E2203E" w:rsidRDefault="00B066C9" w:rsidP="00B066C9">
      <w:pPr>
        <w:ind w:firstLine="567"/>
        <w:jc w:val="right"/>
      </w:pPr>
      <w:r w:rsidRPr="00E2203E">
        <w:t xml:space="preserve">Приложение </w:t>
      </w:r>
      <w:r>
        <w:t>№ 1</w:t>
      </w:r>
    </w:p>
    <w:p w:rsidR="00B066C9" w:rsidRPr="00E2203E" w:rsidRDefault="00B066C9" w:rsidP="00B066C9">
      <w:pPr>
        <w:ind w:firstLine="567"/>
        <w:jc w:val="right"/>
      </w:pPr>
      <w:r w:rsidRPr="00E2203E">
        <w:t>к постановлению администрации</w:t>
      </w:r>
    </w:p>
    <w:p w:rsidR="00B066C9" w:rsidRPr="00E2203E" w:rsidRDefault="00B066C9" w:rsidP="00B066C9">
      <w:pPr>
        <w:ind w:firstLine="567"/>
        <w:jc w:val="right"/>
      </w:pPr>
      <w:r w:rsidRPr="00E2203E">
        <w:t>МО «Светлогорский городской округ»</w:t>
      </w:r>
    </w:p>
    <w:p w:rsidR="00B066C9" w:rsidRDefault="00B066C9" w:rsidP="00B066C9">
      <w:pPr>
        <w:contextualSpacing/>
        <w:jc w:val="right"/>
      </w:pPr>
      <w:r w:rsidRPr="00E2203E">
        <w:t xml:space="preserve">от </w:t>
      </w:r>
      <w:r>
        <w:t xml:space="preserve">  </w:t>
      </w:r>
      <w:r w:rsidR="006624D1">
        <w:t>02.07.2019</w:t>
      </w:r>
      <w:r w:rsidRPr="00E2203E">
        <w:t xml:space="preserve"> г. № </w:t>
      </w:r>
      <w:r w:rsidR="006624D1">
        <w:t>560</w:t>
      </w:r>
      <w:r w:rsidRPr="00E2203E">
        <w:t xml:space="preserve">  </w:t>
      </w:r>
    </w:p>
    <w:p w:rsidR="00B066C9" w:rsidRDefault="00B066C9" w:rsidP="00B066C9">
      <w:pPr>
        <w:contextualSpacing/>
        <w:jc w:val="right"/>
      </w:pPr>
    </w:p>
    <w:p w:rsidR="00B066C9" w:rsidRDefault="00B066C9" w:rsidP="00B066C9">
      <w:pPr>
        <w:contextualSpacing/>
        <w:jc w:val="right"/>
      </w:pPr>
    </w:p>
    <w:p w:rsidR="00B066C9" w:rsidRDefault="00B066C9" w:rsidP="00B066C9">
      <w:pPr>
        <w:contextualSpacing/>
        <w:jc w:val="right"/>
      </w:pPr>
    </w:p>
    <w:p w:rsidR="00B066C9" w:rsidRPr="00E2203E" w:rsidRDefault="00B066C9" w:rsidP="00B066C9">
      <w:pPr>
        <w:contextualSpacing/>
        <w:jc w:val="right"/>
        <w:rPr>
          <w:b/>
        </w:rPr>
      </w:pPr>
      <w:r w:rsidRPr="00E2203E">
        <w:t xml:space="preserve">  </w:t>
      </w:r>
    </w:p>
    <w:p w:rsidR="00B066C9" w:rsidRPr="00795767" w:rsidRDefault="00B066C9" w:rsidP="00B06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>ПОРЯДОК</w:t>
      </w:r>
    </w:p>
    <w:p w:rsidR="00B066C9" w:rsidRPr="00795767" w:rsidRDefault="00B066C9" w:rsidP="00B06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>аккумулирования средств заинтересованных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67">
        <w:rPr>
          <w:rFonts w:ascii="Times New Roman" w:hAnsi="Times New Roman" w:cs="Times New Roman"/>
          <w:sz w:val="24"/>
          <w:szCs w:val="24"/>
        </w:rPr>
        <w:t>направляемых на выполнение минимального и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67">
        <w:rPr>
          <w:rFonts w:ascii="Times New Roman" w:hAnsi="Times New Roman" w:cs="Times New Roman"/>
          <w:sz w:val="24"/>
          <w:szCs w:val="24"/>
        </w:rPr>
        <w:t>перечней работ по благоустройству дворовых территорий,</w:t>
      </w:r>
    </w:p>
    <w:p w:rsidR="00B066C9" w:rsidRPr="00795767" w:rsidRDefault="00B066C9" w:rsidP="00B06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 xml:space="preserve">и механизм </w:t>
      </w:r>
      <w:proofErr w:type="gramStart"/>
      <w:r w:rsidRPr="007957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5767">
        <w:rPr>
          <w:rFonts w:ascii="Times New Roman" w:hAnsi="Times New Roman" w:cs="Times New Roman"/>
          <w:sz w:val="24"/>
          <w:szCs w:val="24"/>
        </w:rPr>
        <w:t xml:space="preserve"> их расходованием</w:t>
      </w: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Pr="00795767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066C9" w:rsidRPr="00795767" w:rsidRDefault="00B066C9" w:rsidP="00B066C9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B066C9" w:rsidRPr="00795767" w:rsidRDefault="00B066C9" w:rsidP="00B0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5767">
        <w:rPr>
          <w:rFonts w:ascii="Times New Roman" w:hAnsi="Times New Roman" w:cs="Times New Roman"/>
          <w:sz w:val="24"/>
          <w:szCs w:val="24"/>
        </w:rPr>
        <w:t>Настоящий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(далее - Порядок), регламентирует процедуру аккумулирования денежных средств заинтересованных лиц, направляемых на оплату мероприятий по благоустройству дворовых территорий (объектов), включенных в адресный перечень объектов благоустр</w:t>
      </w:r>
      <w:r>
        <w:rPr>
          <w:rFonts w:ascii="Times New Roman" w:hAnsi="Times New Roman" w:cs="Times New Roman"/>
          <w:sz w:val="24"/>
          <w:szCs w:val="24"/>
        </w:rPr>
        <w:t>ойства муниципальной Программы «</w:t>
      </w:r>
      <w:r w:rsidRPr="0079576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среды» на 2019-2022 г.г. муниципального образования «Светлогорский городской округ» (далее - дворовые территории</w:t>
      </w:r>
      <w:proofErr w:type="gramEnd"/>
      <w:r w:rsidRPr="00795767">
        <w:rPr>
          <w:rFonts w:ascii="Times New Roman" w:hAnsi="Times New Roman" w:cs="Times New Roman"/>
          <w:sz w:val="24"/>
          <w:szCs w:val="24"/>
        </w:rPr>
        <w:t xml:space="preserve">). Адресный перечень дворовых территорий, выполнение </w:t>
      </w:r>
      <w:proofErr w:type="gramStart"/>
      <w:r w:rsidRPr="00795767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795767">
        <w:rPr>
          <w:rFonts w:ascii="Times New Roman" w:hAnsi="Times New Roman" w:cs="Times New Roman"/>
          <w:sz w:val="24"/>
          <w:szCs w:val="24"/>
        </w:rPr>
        <w:t xml:space="preserve"> по благоустройству которых запланировано в рамках Программы на очередной финансовый год, и срок действия Программы утверждаются постановлением главы администрации МО «Светлогорский городской округ».</w:t>
      </w:r>
    </w:p>
    <w:p w:rsidR="00B066C9" w:rsidRPr="00795767" w:rsidRDefault="00B066C9" w:rsidP="00B0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5767">
        <w:rPr>
          <w:rFonts w:ascii="Times New Roman" w:hAnsi="Times New Roman" w:cs="Times New Roman"/>
          <w:sz w:val="24"/>
          <w:szCs w:val="24"/>
        </w:rPr>
        <w:t>Заинтересованными лицами в настоящем Порядке признаются собственники помещений в многоквартирных домах (далее - собственники помещений), собственники иных зданий и сооружений, расположенных в границах дворовых территорий, подлежащих благоустройству, управляющие организации, товарищества собственников жилья, жилищные кооперативы, иные физические и юридические лица, принимающие участие в благоустройстве дворовой территории МКД, а также муниципальное образование «Светлогорский городской округ» как собственник помещений, иных зданий и сооружений, земельных</w:t>
      </w:r>
      <w:proofErr w:type="gramEnd"/>
      <w:r w:rsidRPr="00795767">
        <w:rPr>
          <w:rFonts w:ascii="Times New Roman" w:hAnsi="Times New Roman" w:cs="Times New Roman"/>
          <w:sz w:val="24"/>
          <w:szCs w:val="24"/>
        </w:rPr>
        <w:t xml:space="preserve"> участков (территорий), расположенных в границах дворовых территорий, подлежащих благоустройству.</w:t>
      </w:r>
    </w:p>
    <w:p w:rsidR="00B066C9" w:rsidRDefault="00B066C9" w:rsidP="00B0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>1.3. От им</w:t>
      </w:r>
      <w:r>
        <w:rPr>
          <w:rFonts w:ascii="Times New Roman" w:hAnsi="Times New Roman" w:cs="Times New Roman"/>
          <w:sz w:val="24"/>
          <w:szCs w:val="24"/>
        </w:rPr>
        <w:t>ени муниципального образования «Светлогорский городской округ»</w:t>
      </w:r>
      <w:r w:rsidRPr="00795767">
        <w:rPr>
          <w:rFonts w:ascii="Times New Roman" w:hAnsi="Times New Roman" w:cs="Times New Roman"/>
          <w:sz w:val="24"/>
          <w:szCs w:val="24"/>
        </w:rPr>
        <w:t xml:space="preserve"> как собственника помещений, иных зданий и сооружений, земельных участков (территорий), расположенных в границах дворовых территорий, подлежащих благоустройству, в рамках действия настоящего Порядка выступает </w:t>
      </w:r>
      <w:r>
        <w:rPr>
          <w:rFonts w:ascii="Times New Roman" w:hAnsi="Times New Roman" w:cs="Times New Roman"/>
          <w:sz w:val="24"/>
          <w:szCs w:val="24"/>
        </w:rPr>
        <w:t>МКУ «Отдел жилищно-коммунального хозяйства Светлогорского городского округа»</w:t>
      </w:r>
      <w:r w:rsidRPr="00795767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5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«ОЖКХ»</w:t>
      </w:r>
      <w:r w:rsidRPr="00795767">
        <w:rPr>
          <w:rFonts w:ascii="Times New Roman" w:hAnsi="Times New Roman" w:cs="Times New Roman"/>
          <w:sz w:val="24"/>
          <w:szCs w:val="24"/>
        </w:rPr>
        <w:t>).</w:t>
      </w:r>
    </w:p>
    <w:p w:rsidR="00B066C9" w:rsidRDefault="00B066C9" w:rsidP="00B06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795767">
        <w:rPr>
          <w:rFonts w:ascii="Times New Roman" w:hAnsi="Times New Roman" w:cs="Times New Roman"/>
          <w:sz w:val="24"/>
          <w:szCs w:val="24"/>
        </w:rPr>
        <w:t>. Уполномоченным органом на аккумулирование денежных средств заинтересованных лиц в рамках д</w:t>
      </w:r>
      <w:r>
        <w:rPr>
          <w:rFonts w:ascii="Times New Roman" w:hAnsi="Times New Roman" w:cs="Times New Roman"/>
          <w:sz w:val="24"/>
          <w:szCs w:val="24"/>
        </w:rPr>
        <w:t>ействия настоящего Порядка являю</w:t>
      </w:r>
      <w:r w:rsidRPr="00795767">
        <w:rPr>
          <w:rFonts w:ascii="Times New Roman" w:hAnsi="Times New Roman" w:cs="Times New Roman"/>
          <w:sz w:val="24"/>
          <w:szCs w:val="24"/>
        </w:rPr>
        <w:t>тся управляющ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95767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5767">
        <w:rPr>
          <w:rFonts w:ascii="Times New Roman" w:hAnsi="Times New Roman" w:cs="Times New Roman"/>
          <w:sz w:val="24"/>
          <w:szCs w:val="24"/>
        </w:rPr>
        <w:t>, товарищество собственников жилья</w:t>
      </w:r>
      <w:r>
        <w:rPr>
          <w:rFonts w:ascii="Times New Roman" w:hAnsi="Times New Roman" w:cs="Times New Roman"/>
          <w:sz w:val="24"/>
          <w:szCs w:val="24"/>
        </w:rPr>
        <w:t xml:space="preserve"> (ТСЖ), </w:t>
      </w:r>
      <w:r w:rsidRPr="00795767">
        <w:rPr>
          <w:rFonts w:ascii="Times New Roman" w:hAnsi="Times New Roman" w:cs="Times New Roman"/>
          <w:sz w:val="24"/>
          <w:szCs w:val="24"/>
        </w:rPr>
        <w:t>товарищество соб</w:t>
      </w:r>
      <w:r>
        <w:rPr>
          <w:rFonts w:ascii="Times New Roman" w:hAnsi="Times New Roman" w:cs="Times New Roman"/>
          <w:sz w:val="24"/>
          <w:szCs w:val="24"/>
        </w:rPr>
        <w:t>ственников недвижимости (ТСН) или иные юридические</w:t>
      </w:r>
      <w:r w:rsidRPr="00795767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767">
        <w:rPr>
          <w:rFonts w:ascii="Times New Roman" w:hAnsi="Times New Roman" w:cs="Times New Roman"/>
          <w:sz w:val="24"/>
          <w:szCs w:val="24"/>
        </w:rPr>
        <w:t xml:space="preserve"> (ЖК, ЖСК или иной СПК), в управлении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95767">
        <w:rPr>
          <w:rFonts w:ascii="Times New Roman" w:hAnsi="Times New Roman" w:cs="Times New Roman"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5767">
        <w:rPr>
          <w:rFonts w:ascii="Times New Roman" w:hAnsi="Times New Roman" w:cs="Times New Roman"/>
          <w:sz w:val="24"/>
          <w:szCs w:val="24"/>
        </w:rPr>
        <w:t>тся многоквартирны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5767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767">
        <w:rPr>
          <w:rFonts w:ascii="Times New Roman" w:hAnsi="Times New Roman" w:cs="Times New Roman"/>
          <w:sz w:val="24"/>
          <w:szCs w:val="24"/>
        </w:rPr>
        <w:t>, расположенны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576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благоустраиваемой</w:t>
      </w:r>
      <w:r w:rsidRPr="00795767">
        <w:rPr>
          <w:rFonts w:ascii="Times New Roman" w:hAnsi="Times New Roman" w:cs="Times New Roman"/>
          <w:sz w:val="24"/>
          <w:szCs w:val="24"/>
        </w:rPr>
        <w:t xml:space="preserve"> территории (далее - управляющая организация).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 w:rsidRPr="00795767">
        <w:t>1.</w:t>
      </w:r>
      <w:r>
        <w:t>5</w:t>
      </w:r>
      <w:r w:rsidRPr="00795767">
        <w:t>. В случае</w:t>
      </w:r>
      <w:proofErr w:type="gramStart"/>
      <w:r w:rsidRPr="00795767">
        <w:t>,</w:t>
      </w:r>
      <w:proofErr w:type="gramEnd"/>
      <w:r w:rsidRPr="00795767">
        <w:t xml:space="preserve"> если на дворовой территории расположено два или более многоквартирных дома, находящихся в управлении различных управляющих организаций, в качестве </w:t>
      </w:r>
      <w:r>
        <w:t xml:space="preserve">уполномоченного органа на аккумулирование денежных средств может, </w:t>
      </w:r>
      <w:r w:rsidRPr="00795767">
        <w:t>выступат</w:t>
      </w:r>
      <w:r>
        <w:t>ь одна</w:t>
      </w:r>
      <w:r w:rsidRPr="00795767">
        <w:t xml:space="preserve"> управляющая организация, с которой остальные организации, собственники иных зданий и сооружений, расположенных в границах дворовых территорий, подлежащих благоустройству, </w:t>
      </w:r>
      <w:r w:rsidRPr="00795767">
        <w:lastRenderedPageBreak/>
        <w:t xml:space="preserve">заключили соответствующее соглашение о передаче полномочий на выполнение </w:t>
      </w:r>
      <w:r>
        <w:t>данных функций,</w:t>
      </w:r>
      <w:r w:rsidRPr="00583024">
        <w:t xml:space="preserve"> </w:t>
      </w:r>
      <w:r>
        <w:t>на основании принятого решения общего</w:t>
      </w:r>
      <w:r w:rsidRPr="000C76B3">
        <w:t xml:space="preserve"> собрани</w:t>
      </w:r>
      <w:r>
        <w:t>я</w:t>
      </w:r>
      <w:r w:rsidRPr="000C76B3">
        <w:t xml:space="preserve"> собственников помещений многоквартирного дома</w:t>
      </w:r>
      <w:r>
        <w:t xml:space="preserve"> (далее Общее собрание собственников)</w:t>
      </w:r>
      <w:r w:rsidRPr="000C76B3">
        <w:t>, в соответствии с требованиями статей 44 – 48 Жилищного кодекса Российской Федерации.</w:t>
      </w:r>
    </w:p>
    <w:p w:rsidR="00B066C9" w:rsidRPr="00291C32" w:rsidRDefault="00B066C9" w:rsidP="00B066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291C32">
        <w:rPr>
          <w:rFonts w:ascii="Times New Roman" w:hAnsi="Times New Roman" w:cs="Times New Roman"/>
          <w:sz w:val="24"/>
          <w:szCs w:val="24"/>
        </w:rPr>
        <w:t xml:space="preserve"> Собственники помещений </w:t>
      </w:r>
      <w:r>
        <w:rPr>
          <w:rFonts w:ascii="Times New Roman" w:hAnsi="Times New Roman" w:cs="Times New Roman"/>
          <w:sz w:val="24"/>
          <w:szCs w:val="24"/>
        </w:rPr>
        <w:t>многоквартирного дома (далее МКД)</w:t>
      </w:r>
      <w:r w:rsidRPr="00291C32">
        <w:rPr>
          <w:rFonts w:ascii="Times New Roman" w:hAnsi="Times New Roman" w:cs="Times New Roman"/>
          <w:sz w:val="24"/>
          <w:szCs w:val="24"/>
        </w:rPr>
        <w:t xml:space="preserve"> принимают участие в благоустройстве дворовой территории </w:t>
      </w:r>
      <w:r>
        <w:rPr>
          <w:rFonts w:ascii="Times New Roman" w:hAnsi="Times New Roman" w:cs="Times New Roman"/>
          <w:sz w:val="24"/>
          <w:szCs w:val="24"/>
        </w:rPr>
        <w:t>многоквартирного дома</w:t>
      </w:r>
      <w:r w:rsidRPr="00291C32">
        <w:rPr>
          <w:rFonts w:ascii="Times New Roman" w:hAnsi="Times New Roman" w:cs="Times New Roman"/>
          <w:sz w:val="24"/>
          <w:szCs w:val="24"/>
        </w:rPr>
        <w:t xml:space="preserve"> в форме финансового участия.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t xml:space="preserve">1.7. </w:t>
      </w:r>
      <w:proofErr w:type="gramStart"/>
      <w:r w:rsidRPr="000C76B3">
        <w:t>Решение о финансовом участии заинтересованных лиц в реализации мероприятий по благоустройству дворовых территорий по</w:t>
      </w:r>
      <w:r>
        <w:t xml:space="preserve"> минимальному и </w:t>
      </w:r>
      <w:r w:rsidRPr="000C76B3">
        <w:t>дополнительному перечн</w:t>
      </w:r>
      <w:r>
        <w:t>ям</w:t>
      </w:r>
      <w:r w:rsidRPr="000C76B3">
        <w:t xml:space="preserve"> работ по благоустройству принимается на общем собрании собственников.</w:t>
      </w:r>
      <w:proofErr w:type="gramEnd"/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t>1.8. Между заинтересованными лицами, в лице у</w:t>
      </w:r>
      <w:r w:rsidRPr="00795767">
        <w:t>полномоченн</w:t>
      </w:r>
      <w:r>
        <w:t>ого</w:t>
      </w:r>
      <w:r w:rsidRPr="00795767">
        <w:t xml:space="preserve"> орган</w:t>
      </w:r>
      <w:r>
        <w:t>а</w:t>
      </w:r>
      <w:r w:rsidRPr="00795767">
        <w:t xml:space="preserve"> на аккумулирование денежных средств </w:t>
      </w:r>
      <w:r>
        <w:t xml:space="preserve">и заказчиком работ подписывается Соглашение или Договор (приложение № 1) о перечислении </w:t>
      </w:r>
      <w:r w:rsidRPr="00291C32">
        <w:t xml:space="preserve">доли собственников помещений МКД на счет </w:t>
      </w:r>
      <w:r>
        <w:t>заказчика</w:t>
      </w:r>
      <w:r w:rsidRPr="00291C32">
        <w:t xml:space="preserve"> к моменту наступления срока оплаты подрядной организации за выполненные работы в соответствии с Муниципальным контрактом</w:t>
      </w:r>
      <w:r>
        <w:t>.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</w:p>
    <w:p w:rsidR="00B066C9" w:rsidRPr="00B066C9" w:rsidRDefault="00B066C9" w:rsidP="00B066C9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B066C9">
        <w:rPr>
          <w:b/>
        </w:rPr>
        <w:t>Формы финансового участия собственников помещений многоквартирных домов</w:t>
      </w:r>
    </w:p>
    <w:p w:rsidR="00B066C9" w:rsidRPr="00B066C9" w:rsidRDefault="00B066C9" w:rsidP="00B066C9">
      <w:pPr>
        <w:pStyle w:val="a3"/>
        <w:autoSpaceDE w:val="0"/>
        <w:autoSpaceDN w:val="0"/>
        <w:adjustRightInd w:val="0"/>
        <w:rPr>
          <w:b/>
        </w:rPr>
      </w:pP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 w:rsidRPr="00650ABA">
        <w:t>2.1. Под формой финансового участия понимается минимальная доля финансового</w:t>
      </w:r>
      <w:r w:rsidRPr="00BB0AF3">
        <w:t xml:space="preserve"> участия заинтересованных лиц в выполнении </w:t>
      </w:r>
      <w:r>
        <w:t xml:space="preserve">минимального и </w:t>
      </w:r>
      <w:r w:rsidRPr="00BB0AF3">
        <w:t>дополнительного перечн</w:t>
      </w:r>
      <w:r>
        <w:t>ей</w:t>
      </w:r>
      <w:r w:rsidRPr="00BB0AF3">
        <w:t xml:space="preserve"> работ по благоустройству дворовой территории в размере </w:t>
      </w:r>
      <w:r>
        <w:t>не менее 5</w:t>
      </w:r>
      <w:r w:rsidRPr="00BB0AF3">
        <w:t>% от сметной стоимости работ.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t xml:space="preserve">2.2. Размер финансового участия </w:t>
      </w:r>
      <w:proofErr w:type="spellStart"/>
      <w:r>
        <w:rPr>
          <w:lang w:val="en-US"/>
        </w:rPr>
        <w:t>i</w:t>
      </w:r>
      <w:proofErr w:type="spellEnd"/>
      <w:r w:rsidRPr="00FA1FBD">
        <w:t>-</w:t>
      </w:r>
      <w:r>
        <w:t>ого жилого или нежилого помещения  в многоквартирном доме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), </w:t>
      </w:r>
      <w:r w:rsidRPr="000C76B3">
        <w:t>расположенн</w:t>
      </w:r>
      <w:r>
        <w:t>ом</w:t>
      </w:r>
      <w:r w:rsidRPr="000C76B3">
        <w:t xml:space="preserve"> в границах дворовой территории, подлежащей благоустройству и обеспечивающие финансовое участие в реализации мероприятий по благоустройству дворовых территорий</w:t>
      </w:r>
      <w:r>
        <w:t>, определяется по следующей формуле: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</w:p>
    <w:p w:rsidR="00B066C9" w:rsidRDefault="008844E9" w:rsidP="00B066C9">
      <w:pPr>
        <w:pStyle w:val="a3"/>
        <w:autoSpaceDE w:val="0"/>
        <w:autoSpaceDN w:val="0"/>
        <w:adjustRightInd w:val="0"/>
        <w:ind w:left="0"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фу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об</m:t>
                  </m:r>
                </m:sub>
              </m:sSub>
            </m:den>
          </m:f>
        </m:oMath>
      </m:oMathPara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t xml:space="preserve">Где </w:t>
      </w:r>
      <w:proofErr w:type="spellStart"/>
      <w:r>
        <w:t>Рфу</w:t>
      </w:r>
      <w:proofErr w:type="spellEnd"/>
      <w:r>
        <w:t xml:space="preserve"> - размер финансового участия </w:t>
      </w:r>
      <w:r w:rsidRPr="004D5D22">
        <w:t>заинтересованных лиц в выполнении минимального и дополнительного перечней работ по благоустройству дворовой территории</w:t>
      </w:r>
      <w:r>
        <w:t>, установленный</w:t>
      </w:r>
      <w:r w:rsidRPr="004D5D22">
        <w:t xml:space="preserve"> в размере 5% от сметной стоимости работ.</w:t>
      </w:r>
      <w:r>
        <w:t xml:space="preserve"> Определяется по формуле: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</w:p>
    <w:p w:rsidR="00B066C9" w:rsidRPr="008C3B0F" w:rsidRDefault="008844E9" w:rsidP="00B066C9">
      <w:pPr>
        <w:pStyle w:val="a3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фу</m:t>
              </m:r>
            </m:sub>
          </m:sSub>
          <m:r>
            <w:rPr>
              <w:rFonts w:ascii="Cambria Math" w:hAnsi="Cambria Math"/>
            </w:rPr>
            <m:t>=Сметная стоимость работ×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5%</m:t>
              </m:r>
            </m:num>
            <m:den>
              <m:r>
                <w:rPr>
                  <w:rFonts w:ascii="Cambria Math" w:hAnsi="Cambria Math"/>
                </w:rPr>
                <m:t>100%</m:t>
              </m:r>
            </m:den>
          </m:f>
        </m:oMath>
      </m:oMathPara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Si</w:t>
      </w:r>
      <w:r w:rsidRPr="00E16730">
        <w:t xml:space="preserve"> – </w:t>
      </w:r>
      <w:r>
        <w:t>о</w:t>
      </w:r>
      <w:r w:rsidRPr="00E16730">
        <w:t>бщая площадь i-го помещения (жилого или нежилого) в многоквартирном доме;</w:t>
      </w:r>
    </w:p>
    <w:p w:rsidR="00B066C9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S</w:t>
      </w:r>
      <w:r>
        <w:t xml:space="preserve">об - </w:t>
      </w:r>
      <w:r w:rsidRPr="00E16730">
        <w:t>общая площадь всех жилых и нежилых помещений в многоквартирном доме;</w:t>
      </w:r>
    </w:p>
    <w:p w:rsidR="00B066C9" w:rsidRPr="00FD3DDC" w:rsidRDefault="00B066C9" w:rsidP="00B066C9">
      <w:pPr>
        <w:pStyle w:val="a3"/>
        <w:numPr>
          <w:ilvl w:val="1"/>
          <w:numId w:val="2"/>
        </w:numPr>
        <w:ind w:left="0" w:firstLine="567"/>
        <w:jc w:val="both"/>
      </w:pPr>
      <w:r w:rsidRPr="00FD3DDC">
        <w:t xml:space="preserve">Финансовое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B066C9" w:rsidRPr="003F13A4" w:rsidRDefault="00B066C9" w:rsidP="00B066C9">
      <w:pPr>
        <w:ind w:firstLine="567"/>
        <w:jc w:val="both"/>
      </w:pPr>
      <w:r w:rsidRPr="003F13A4">
        <w:t xml:space="preserve">2.4. В качестве документов, подтверждающих финансовое участие, могут быть </w:t>
      </w:r>
      <w:proofErr w:type="gramStart"/>
      <w:r w:rsidRPr="003F13A4">
        <w:t>представлены</w:t>
      </w:r>
      <w:proofErr w:type="gramEnd"/>
      <w:r w:rsidRPr="003F13A4">
        <w:t>:</w:t>
      </w:r>
    </w:p>
    <w:p w:rsidR="00B066C9" w:rsidRPr="003F13A4" w:rsidRDefault="00B066C9" w:rsidP="00B066C9">
      <w:pPr>
        <w:ind w:firstLine="567"/>
        <w:jc w:val="both"/>
      </w:pPr>
      <w:r w:rsidRPr="003F13A4">
        <w:t>- копии платежных поручений о перечислении средств или внесении средств на счет;</w:t>
      </w:r>
    </w:p>
    <w:p w:rsidR="00B066C9" w:rsidRDefault="00B066C9" w:rsidP="00B066C9">
      <w:pPr>
        <w:ind w:firstLine="567"/>
        <w:jc w:val="both"/>
      </w:pPr>
      <w:r w:rsidRPr="003F13A4">
        <w:t>- копия ведомости сбора сре</w:t>
      </w:r>
      <w:proofErr w:type="gramStart"/>
      <w:r w:rsidRPr="003F13A4">
        <w:t>дств с ф</w:t>
      </w:r>
      <w:proofErr w:type="gramEnd"/>
      <w:r w:rsidRPr="003F13A4">
        <w:t>изических лиц, которые впоследствии также вносятся на счет.</w:t>
      </w:r>
    </w:p>
    <w:p w:rsidR="00B066C9" w:rsidRDefault="00B066C9" w:rsidP="00B066C9">
      <w:pPr>
        <w:ind w:firstLine="567"/>
        <w:jc w:val="both"/>
      </w:pPr>
      <w:r>
        <w:t xml:space="preserve">- копии квитанций об оплате денежных средств или выписка с расчетного счета управляющей организации о поступлении денежных средств на расчетный счет управляющей организации. </w:t>
      </w:r>
    </w:p>
    <w:p w:rsidR="00B066C9" w:rsidRPr="00795767" w:rsidRDefault="00B066C9" w:rsidP="00B066C9">
      <w:pPr>
        <w:ind w:firstLine="567"/>
        <w:jc w:val="both"/>
      </w:pPr>
    </w:p>
    <w:p w:rsidR="00B066C9" w:rsidRDefault="00B066C9" w:rsidP="00B066C9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>Порядок аккумулирования средств заинтересованных лиц</w:t>
      </w:r>
    </w:p>
    <w:p w:rsidR="00B066C9" w:rsidRPr="00795767" w:rsidRDefault="00B066C9" w:rsidP="00B066C9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B066C9" w:rsidRPr="00291C32" w:rsidRDefault="00B066C9" w:rsidP="00B066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91C3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291C32">
        <w:rPr>
          <w:rFonts w:ascii="Times New Roman" w:hAnsi="Times New Roman" w:cs="Times New Roman"/>
          <w:sz w:val="24"/>
          <w:szCs w:val="24"/>
        </w:rPr>
        <w:t>Работы по благоустройству дворовых территорий МКД, расположенных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Светлогорский</w:t>
      </w:r>
      <w:r w:rsidRPr="00291C32">
        <w:rPr>
          <w:rFonts w:ascii="Times New Roman" w:hAnsi="Times New Roman" w:cs="Times New Roman"/>
          <w:sz w:val="24"/>
          <w:szCs w:val="24"/>
        </w:rPr>
        <w:t xml:space="preserve"> городской округ», а также осуществление строительного контроля за качеством, сроками и объемами работ проводятся за счет средств </w:t>
      </w:r>
      <w:r w:rsidRPr="00291C32">
        <w:rPr>
          <w:rFonts w:ascii="Times New Roman" w:hAnsi="Times New Roman" w:cs="Times New Roman"/>
          <w:sz w:val="24"/>
          <w:szCs w:val="24"/>
        </w:rPr>
        <w:lastRenderedPageBreak/>
        <w:t>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Светлогорский</w:t>
      </w:r>
      <w:r w:rsidRPr="00291C32">
        <w:rPr>
          <w:rFonts w:ascii="Times New Roman" w:hAnsi="Times New Roman" w:cs="Times New Roman"/>
          <w:sz w:val="24"/>
          <w:szCs w:val="24"/>
        </w:rPr>
        <w:t xml:space="preserve"> городской округ», областного и федерального бюджетов при включении дворовой территории МКД в адресный перечень муниципальной программы «Формирование современной городской среды» на условиях долевого финансирования расходов собственниками помещений</w:t>
      </w:r>
      <w:proofErr w:type="gramEnd"/>
      <w:r w:rsidRPr="00291C32">
        <w:rPr>
          <w:rFonts w:ascii="Times New Roman" w:hAnsi="Times New Roman" w:cs="Times New Roman"/>
          <w:sz w:val="24"/>
          <w:szCs w:val="24"/>
        </w:rPr>
        <w:t xml:space="preserve"> МКД  в размере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291C32">
        <w:rPr>
          <w:rFonts w:ascii="Times New Roman" w:hAnsi="Times New Roman" w:cs="Times New Roman"/>
          <w:sz w:val="24"/>
          <w:szCs w:val="24"/>
        </w:rPr>
        <w:t xml:space="preserve"> 5% сметной стоимости затрат на выполнение работ. </w:t>
      </w:r>
    </w:p>
    <w:p w:rsidR="00B066C9" w:rsidRPr="00291C32" w:rsidRDefault="00B066C9" w:rsidP="00B066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91C3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291C32">
        <w:rPr>
          <w:rFonts w:ascii="Times New Roman" w:hAnsi="Times New Roman" w:cs="Times New Roman"/>
          <w:sz w:val="24"/>
          <w:szCs w:val="24"/>
        </w:rPr>
        <w:t xml:space="preserve">Аккумулирование денежных средств собственников помещений МКД на проведение работ по благоустройству дворовой территории осуществляется на </w:t>
      </w:r>
      <w:r>
        <w:rPr>
          <w:rFonts w:ascii="Times New Roman" w:hAnsi="Times New Roman" w:cs="Times New Roman"/>
          <w:sz w:val="24"/>
          <w:szCs w:val="24"/>
        </w:rPr>
        <w:t>специальн</w:t>
      </w:r>
      <w:r w:rsidRPr="00291C32">
        <w:rPr>
          <w:rFonts w:ascii="Times New Roman" w:hAnsi="Times New Roman" w:cs="Times New Roman"/>
          <w:sz w:val="24"/>
          <w:szCs w:val="24"/>
        </w:rPr>
        <w:t>ом счете</w:t>
      </w:r>
      <w:r w:rsidRPr="00422AB5">
        <w:rPr>
          <w:rFonts w:ascii="Times New Roman" w:hAnsi="Times New Roman" w:cs="Times New Roman"/>
          <w:sz w:val="24"/>
          <w:szCs w:val="24"/>
        </w:rPr>
        <w:t xml:space="preserve"> </w:t>
      </w:r>
      <w:r w:rsidRPr="00795767">
        <w:rPr>
          <w:rFonts w:ascii="Times New Roman" w:hAnsi="Times New Roman" w:cs="Times New Roman"/>
          <w:sz w:val="24"/>
          <w:szCs w:val="24"/>
        </w:rPr>
        <w:t>управляющ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95767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5767">
        <w:rPr>
          <w:rFonts w:ascii="Times New Roman" w:hAnsi="Times New Roman" w:cs="Times New Roman"/>
          <w:sz w:val="24"/>
          <w:szCs w:val="24"/>
        </w:rPr>
        <w:t>, товариществ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767">
        <w:rPr>
          <w:rFonts w:ascii="Times New Roman" w:hAnsi="Times New Roman" w:cs="Times New Roman"/>
          <w:sz w:val="24"/>
          <w:szCs w:val="24"/>
        </w:rPr>
        <w:t xml:space="preserve"> собственников жилья </w:t>
      </w:r>
      <w:r>
        <w:rPr>
          <w:rFonts w:ascii="Times New Roman" w:hAnsi="Times New Roman" w:cs="Times New Roman"/>
          <w:sz w:val="24"/>
          <w:szCs w:val="24"/>
        </w:rPr>
        <w:t xml:space="preserve"> (ТСЖ), </w:t>
      </w:r>
      <w:r w:rsidRPr="00795767">
        <w:rPr>
          <w:rFonts w:ascii="Times New Roman" w:hAnsi="Times New Roman" w:cs="Times New Roman"/>
          <w:sz w:val="24"/>
          <w:szCs w:val="24"/>
        </w:rPr>
        <w:t>товариществ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767">
        <w:rPr>
          <w:rFonts w:ascii="Times New Roman" w:hAnsi="Times New Roman" w:cs="Times New Roman"/>
          <w:sz w:val="24"/>
          <w:szCs w:val="24"/>
        </w:rPr>
        <w:t xml:space="preserve"> соб</w:t>
      </w:r>
      <w:r>
        <w:rPr>
          <w:rFonts w:ascii="Times New Roman" w:hAnsi="Times New Roman" w:cs="Times New Roman"/>
          <w:sz w:val="24"/>
          <w:szCs w:val="24"/>
        </w:rPr>
        <w:t>ственников недвижимости (ТСН) или иных юридических</w:t>
      </w:r>
      <w:r w:rsidRPr="00795767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95767">
        <w:rPr>
          <w:rFonts w:ascii="Times New Roman" w:hAnsi="Times New Roman" w:cs="Times New Roman"/>
          <w:sz w:val="24"/>
          <w:szCs w:val="24"/>
        </w:rPr>
        <w:t xml:space="preserve"> (ЖК, ЖСК или иной СПК), в управлении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95767">
        <w:rPr>
          <w:rFonts w:ascii="Times New Roman" w:hAnsi="Times New Roman" w:cs="Times New Roman"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5767">
        <w:rPr>
          <w:rFonts w:ascii="Times New Roman" w:hAnsi="Times New Roman" w:cs="Times New Roman"/>
          <w:sz w:val="24"/>
          <w:szCs w:val="24"/>
        </w:rPr>
        <w:t>тся многоквартирны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5767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767">
        <w:rPr>
          <w:rFonts w:ascii="Times New Roman" w:hAnsi="Times New Roman" w:cs="Times New Roman"/>
          <w:sz w:val="24"/>
          <w:szCs w:val="24"/>
        </w:rPr>
        <w:t>, расположенны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576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благоустраиваемой</w:t>
      </w:r>
      <w:r w:rsidRPr="00795767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291C32">
        <w:rPr>
          <w:rFonts w:ascii="Times New Roman" w:hAnsi="Times New Roman" w:cs="Times New Roman"/>
          <w:sz w:val="24"/>
          <w:szCs w:val="24"/>
        </w:rPr>
        <w:t xml:space="preserve">, открытом в </w:t>
      </w:r>
      <w:r w:rsidRPr="00291C32">
        <w:rPr>
          <w:rFonts w:ascii="Times New Roman" w:eastAsia="Calibri" w:hAnsi="Times New Roman"/>
          <w:sz w:val="24"/>
          <w:szCs w:val="24"/>
        </w:rPr>
        <w:t>российской кредитной организации</w:t>
      </w:r>
      <w:r w:rsidRPr="00291C32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  <w:proofErr w:type="gramEnd"/>
    </w:p>
    <w:p w:rsidR="00B066C9" w:rsidRPr="00291C32" w:rsidRDefault="00B066C9" w:rsidP="00B066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91C32">
        <w:rPr>
          <w:rFonts w:ascii="Times New Roman" w:hAnsi="Times New Roman" w:cs="Times New Roman"/>
          <w:sz w:val="24"/>
          <w:szCs w:val="24"/>
        </w:rPr>
        <w:t xml:space="preserve">.3. Собственники помещений МКД определяют уполномоченное лицо (далее – Уполномоченное лицо) </w:t>
      </w:r>
      <w:r>
        <w:rPr>
          <w:rFonts w:ascii="Times New Roman" w:hAnsi="Times New Roman" w:cs="Times New Roman"/>
          <w:sz w:val="24"/>
          <w:szCs w:val="24"/>
        </w:rPr>
        <w:t>ответственное за оформление</w:t>
      </w:r>
      <w:r w:rsidRPr="00291C32">
        <w:rPr>
          <w:rFonts w:ascii="Times New Roman" w:hAnsi="Times New Roman" w:cs="Times New Roman"/>
          <w:sz w:val="24"/>
          <w:szCs w:val="24"/>
        </w:rPr>
        <w:t xml:space="preserve"> необходимых документов, сбор и перечислени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C32">
        <w:rPr>
          <w:rFonts w:ascii="Times New Roman" w:hAnsi="Times New Roman" w:cs="Times New Roman"/>
          <w:sz w:val="24"/>
          <w:szCs w:val="24"/>
        </w:rPr>
        <w:t xml:space="preserve"> доли собственников помещений МКД на </w:t>
      </w:r>
      <w:r>
        <w:rPr>
          <w:rFonts w:ascii="Times New Roman" w:hAnsi="Times New Roman" w:cs="Times New Roman"/>
          <w:sz w:val="24"/>
          <w:szCs w:val="24"/>
        </w:rPr>
        <w:t>специальный</w:t>
      </w:r>
      <w:r w:rsidRPr="00291C32">
        <w:rPr>
          <w:rFonts w:ascii="Times New Roman" w:hAnsi="Times New Roman" w:cs="Times New Roman"/>
          <w:sz w:val="24"/>
          <w:szCs w:val="24"/>
        </w:rPr>
        <w:t xml:space="preserve"> счет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291C32">
        <w:rPr>
          <w:rFonts w:ascii="Times New Roman" w:hAnsi="Times New Roman" w:cs="Times New Roman"/>
          <w:sz w:val="24"/>
          <w:szCs w:val="24"/>
        </w:rPr>
        <w:t>в</w:t>
      </w:r>
      <w:r w:rsidRPr="00291C32">
        <w:rPr>
          <w:rFonts w:ascii="Times New Roman" w:eastAsia="Calibri" w:hAnsi="Times New Roman"/>
          <w:sz w:val="24"/>
          <w:szCs w:val="24"/>
        </w:rPr>
        <w:t xml:space="preserve"> кредитной организации</w:t>
      </w:r>
      <w:r w:rsidRPr="00291C32">
        <w:rPr>
          <w:rFonts w:ascii="Times New Roman" w:hAnsi="Times New Roman" w:cs="Times New Roman"/>
          <w:sz w:val="24"/>
          <w:szCs w:val="24"/>
        </w:rPr>
        <w:t xml:space="preserve"> для аккумулирования средств на проведение работ по благоустройству дворовой территории МКД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C32">
        <w:rPr>
          <w:rFonts w:ascii="Times New Roman" w:hAnsi="Times New Roman" w:cs="Times New Roman"/>
          <w:sz w:val="24"/>
          <w:szCs w:val="24"/>
        </w:rPr>
        <w:t>счет).</w:t>
      </w:r>
    </w:p>
    <w:p w:rsidR="00B066C9" w:rsidRPr="00291C32" w:rsidRDefault="00B066C9" w:rsidP="00B066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C32">
        <w:rPr>
          <w:rFonts w:ascii="Times New Roman" w:hAnsi="Times New Roman" w:cs="Times New Roman"/>
          <w:sz w:val="24"/>
          <w:szCs w:val="24"/>
        </w:rPr>
        <w:t xml:space="preserve">Собственники помещений МКД </w:t>
      </w:r>
      <w:r w:rsidRPr="00805A86">
        <w:rPr>
          <w:rFonts w:ascii="Times New Roman" w:hAnsi="Times New Roman" w:cs="Times New Roman"/>
          <w:sz w:val="24"/>
          <w:szCs w:val="24"/>
        </w:rPr>
        <w:t xml:space="preserve">на общем собрании собственников помещений многоквартирного дома, определяют </w:t>
      </w:r>
      <w:r w:rsidRPr="00291C32">
        <w:rPr>
          <w:rFonts w:ascii="Times New Roman" w:hAnsi="Times New Roman" w:cs="Times New Roman"/>
          <w:sz w:val="24"/>
          <w:szCs w:val="24"/>
        </w:rPr>
        <w:t>порядок сбора денежных средств собственников помещений МКД</w:t>
      </w:r>
      <w:r w:rsidRPr="00805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05A86">
        <w:rPr>
          <w:rFonts w:ascii="Times New Roman" w:hAnsi="Times New Roman" w:cs="Times New Roman"/>
          <w:sz w:val="24"/>
          <w:szCs w:val="24"/>
        </w:rPr>
        <w:t>объем денежных средств каждого собственника в пределах</w:t>
      </w:r>
      <w:r w:rsidRPr="00291C32">
        <w:rPr>
          <w:rFonts w:ascii="Times New Roman" w:hAnsi="Times New Roman" w:cs="Times New Roman"/>
          <w:sz w:val="24"/>
          <w:szCs w:val="24"/>
        </w:rPr>
        <w:t xml:space="preserve"> общей доли </w:t>
      </w:r>
      <w:proofErr w:type="spellStart"/>
      <w:r w:rsidRPr="00291C3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91C32">
        <w:rPr>
          <w:rFonts w:ascii="Times New Roman" w:hAnsi="Times New Roman" w:cs="Times New Roman"/>
          <w:sz w:val="24"/>
          <w:szCs w:val="24"/>
        </w:rPr>
        <w:t xml:space="preserve"> собственников помещений МКД  Уполномоченным лицом.</w:t>
      </w:r>
    </w:p>
    <w:p w:rsidR="00B066C9" w:rsidRPr="000C7407" w:rsidRDefault="00B066C9" w:rsidP="00B066C9">
      <w:pPr>
        <w:pStyle w:val="a3"/>
        <w:autoSpaceDE w:val="0"/>
        <w:autoSpaceDN w:val="0"/>
        <w:adjustRightInd w:val="0"/>
        <w:ind w:left="0" w:firstLine="567"/>
        <w:jc w:val="both"/>
      </w:pPr>
      <w:r>
        <w:t>3</w:t>
      </w:r>
      <w:r w:rsidRPr="00291C32">
        <w:t xml:space="preserve">.4. </w:t>
      </w:r>
      <w:r>
        <w:t>Управляющая Организация</w:t>
      </w:r>
      <w:r w:rsidRPr="00291C32">
        <w:t xml:space="preserve"> аккумулир</w:t>
      </w:r>
      <w:r>
        <w:t>ует</w:t>
      </w:r>
      <w:r w:rsidRPr="00291C32">
        <w:t xml:space="preserve"> средств собственников помещений МКД </w:t>
      </w:r>
      <w:r>
        <w:t>на счете согласно принятому решению общего</w:t>
      </w:r>
      <w:r w:rsidRPr="000C76B3">
        <w:t xml:space="preserve"> собрани</w:t>
      </w:r>
      <w:r>
        <w:t>я</w:t>
      </w:r>
      <w:r w:rsidRPr="000C76B3">
        <w:t xml:space="preserve"> собственников </w:t>
      </w:r>
      <w:r>
        <w:t>помещений многоквартирного дома</w:t>
      </w:r>
      <w:r w:rsidRPr="000C76B3">
        <w:t>.</w:t>
      </w:r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7407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Pr="000C7407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407">
        <w:rPr>
          <w:rFonts w:ascii="Times New Roman" w:hAnsi="Times New Roman" w:cs="Times New Roman"/>
          <w:sz w:val="24"/>
          <w:szCs w:val="24"/>
        </w:rPr>
        <w:t xml:space="preserve"> не позднее 15 (пятнадцати) рабочих дней с даты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решения на общем собрании собственников жилья указанного в п. 1.7., </w:t>
      </w:r>
      <w:r w:rsidRPr="000C7407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начать </w:t>
      </w:r>
      <w:r w:rsidRPr="000C7407">
        <w:rPr>
          <w:rFonts w:ascii="Times New Roman" w:hAnsi="Times New Roman" w:cs="Times New Roman"/>
          <w:sz w:val="24"/>
          <w:szCs w:val="24"/>
        </w:rPr>
        <w:t>перечисл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0C7407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7407">
        <w:rPr>
          <w:rFonts w:ascii="Times New Roman" w:hAnsi="Times New Roman" w:cs="Times New Roman"/>
          <w:sz w:val="24"/>
          <w:szCs w:val="24"/>
        </w:rPr>
        <w:t xml:space="preserve"> собственников помещений МКД в объеме 100% на счет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п. 2,</w:t>
      </w:r>
      <w:r w:rsidRPr="000C7407">
        <w:rPr>
          <w:rFonts w:ascii="Times New Roman" w:hAnsi="Times New Roman" w:cs="Times New Roman"/>
          <w:sz w:val="24"/>
          <w:szCs w:val="24"/>
        </w:rPr>
        <w:t xml:space="preserve"> в кредитной организации в соответствии с </w:t>
      </w:r>
      <w:r>
        <w:rPr>
          <w:rFonts w:ascii="Times New Roman" w:hAnsi="Times New Roman" w:cs="Times New Roman"/>
          <w:sz w:val="24"/>
          <w:szCs w:val="24"/>
        </w:rPr>
        <w:t>принятым решением собственников МКД</w:t>
      </w:r>
      <w:r w:rsidRPr="000C7407">
        <w:rPr>
          <w:rFonts w:ascii="Times New Roman" w:hAnsi="Times New Roman" w:cs="Times New Roman"/>
          <w:sz w:val="24"/>
          <w:szCs w:val="24"/>
        </w:rPr>
        <w:t>.</w:t>
      </w:r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3.6</w:t>
      </w:r>
      <w:r w:rsidRPr="00291C32">
        <w:rPr>
          <w:rFonts w:ascii="Times New Roman" w:hAnsi="Times New Roman"/>
          <w:sz w:val="24"/>
          <w:szCs w:val="24"/>
          <w:shd w:val="clear" w:color="auto" w:fill="FFFFFF"/>
        </w:rPr>
        <w:t>. В  случае неисполнения собственниками помещений МКД обязанности по перечислению денежных сре</w:t>
      </w:r>
      <w:proofErr w:type="gramStart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>дств в пр</w:t>
      </w:r>
      <w:proofErr w:type="gramEnd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еделах общей доли </w:t>
      </w:r>
      <w:proofErr w:type="spellStart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 собственниками помещений МКД,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Управляющая организация </w:t>
      </w:r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осуществляет взыскание денежных средств, а также пени, с собственников помещений МКД в судебном порядке. </w:t>
      </w:r>
      <w:r w:rsidRPr="00291C32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обязательств, начиная </w:t>
      </w:r>
      <w:proofErr w:type="gramStart"/>
      <w:r w:rsidRPr="00291C32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291C32">
        <w:rPr>
          <w:rFonts w:ascii="Times New Roman" w:hAnsi="Times New Roman"/>
          <w:sz w:val="24"/>
          <w:szCs w:val="24"/>
        </w:rPr>
        <w:t xml:space="preserve"> выполнения работ, предусмотренно</w:t>
      </w:r>
      <w:r>
        <w:rPr>
          <w:rFonts w:ascii="Times New Roman" w:hAnsi="Times New Roman"/>
          <w:sz w:val="24"/>
          <w:szCs w:val="24"/>
        </w:rPr>
        <w:t>й</w:t>
      </w:r>
      <w:r w:rsidRPr="00291C32">
        <w:rPr>
          <w:rFonts w:ascii="Times New Roman" w:hAnsi="Times New Roman"/>
          <w:sz w:val="24"/>
          <w:szCs w:val="24"/>
        </w:rPr>
        <w:t xml:space="preserve"> Муниципальным контрактом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1C32">
        <w:rPr>
          <w:rFonts w:ascii="Times New Roman" w:hAnsi="Times New Roman"/>
          <w:sz w:val="24"/>
          <w:szCs w:val="24"/>
        </w:rPr>
        <w:t xml:space="preserve">в размере 1/300 действующей на дату уплаты пеней </w:t>
      </w:r>
      <w:r>
        <w:rPr>
          <w:rFonts w:ascii="Times New Roman" w:hAnsi="Times New Roman"/>
          <w:sz w:val="24"/>
          <w:szCs w:val="24"/>
        </w:rPr>
        <w:t>ключевой</w:t>
      </w:r>
      <w:r w:rsidRPr="00291C32">
        <w:rPr>
          <w:rFonts w:ascii="Times New Roman" w:hAnsi="Times New Roman"/>
          <w:sz w:val="24"/>
          <w:szCs w:val="24"/>
        </w:rPr>
        <w:t xml:space="preserve"> ставки </w:t>
      </w:r>
      <w:r>
        <w:rPr>
          <w:rFonts w:ascii="Times New Roman" w:hAnsi="Times New Roman"/>
          <w:sz w:val="24"/>
          <w:szCs w:val="24"/>
        </w:rPr>
        <w:t>Б</w:t>
      </w:r>
      <w:r w:rsidRPr="00291C32">
        <w:rPr>
          <w:rFonts w:ascii="Times New Roman" w:hAnsi="Times New Roman"/>
          <w:sz w:val="24"/>
          <w:szCs w:val="24"/>
        </w:rPr>
        <w:t>анка Росси от не перечисленной в срок суммы за каждый день просрочки.</w:t>
      </w:r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291C3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291C32">
        <w:rPr>
          <w:rFonts w:ascii="Times New Roman" w:hAnsi="Times New Roman" w:cs="Times New Roman"/>
          <w:sz w:val="24"/>
          <w:szCs w:val="24"/>
        </w:rPr>
        <w:t>неперечисления</w:t>
      </w:r>
      <w:proofErr w:type="spellEnd"/>
      <w:r w:rsidRPr="00291C32">
        <w:rPr>
          <w:rFonts w:ascii="Times New Roman" w:hAnsi="Times New Roman" w:cs="Times New Roman"/>
          <w:sz w:val="24"/>
          <w:szCs w:val="24"/>
        </w:rPr>
        <w:t xml:space="preserve"> Уполномоченным лицом доли собственников помещений МКД </w:t>
      </w:r>
      <w:proofErr w:type="gramStart"/>
      <w:r w:rsidRPr="00291C32">
        <w:rPr>
          <w:rFonts w:ascii="Times New Roman" w:hAnsi="Times New Roman" w:cs="Times New Roman"/>
          <w:sz w:val="24"/>
          <w:szCs w:val="24"/>
        </w:rPr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 w:rsidRPr="00291C32">
        <w:rPr>
          <w:rFonts w:ascii="Times New Roman" w:hAnsi="Times New Roman" w:cs="Times New Roman"/>
          <w:sz w:val="24"/>
          <w:szCs w:val="24"/>
        </w:rPr>
        <w:t xml:space="preserve"> к моменту наступления срока оплаты подрядной организации за выполненные работы в соответствии с Муниципальным контрактом</w:t>
      </w:r>
      <w:proofErr w:type="gramEnd"/>
      <w:r w:rsidRPr="00291C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1C32">
        <w:rPr>
          <w:rFonts w:ascii="Times New Roman" w:hAnsi="Times New Roman" w:cs="Times New Roman"/>
          <w:sz w:val="24"/>
          <w:szCs w:val="24"/>
        </w:rPr>
        <w:t xml:space="preserve">полномоченному лицу в </w:t>
      </w:r>
      <w:r>
        <w:rPr>
          <w:rFonts w:ascii="Times New Roman" w:hAnsi="Times New Roman" w:cs="Times New Roman"/>
          <w:sz w:val="24"/>
          <w:szCs w:val="24"/>
        </w:rPr>
        <w:t xml:space="preserve">начисляются штрафы </w:t>
      </w:r>
      <w:r w:rsidRPr="00291C32">
        <w:rPr>
          <w:rFonts w:ascii="Times New Roman" w:hAnsi="Times New Roman" w:cs="Times New Roman"/>
          <w:sz w:val="24"/>
          <w:szCs w:val="24"/>
        </w:rPr>
        <w:t xml:space="preserve">в размере 10% от </w:t>
      </w:r>
      <w:proofErr w:type="spellStart"/>
      <w:r w:rsidRPr="00291C32">
        <w:rPr>
          <w:rFonts w:ascii="Times New Roman" w:hAnsi="Times New Roman" w:cs="Times New Roman"/>
          <w:sz w:val="24"/>
          <w:szCs w:val="24"/>
        </w:rPr>
        <w:t>неперечисленной</w:t>
      </w:r>
      <w:proofErr w:type="spellEnd"/>
      <w:r w:rsidRPr="00291C32">
        <w:rPr>
          <w:rFonts w:ascii="Times New Roman" w:hAnsi="Times New Roman" w:cs="Times New Roman"/>
          <w:sz w:val="24"/>
          <w:szCs w:val="24"/>
        </w:rPr>
        <w:t xml:space="preserve"> суммы. </w:t>
      </w:r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291C32">
        <w:rPr>
          <w:rFonts w:ascii="Times New Roman" w:hAnsi="Times New Roman" w:cs="Times New Roman"/>
          <w:sz w:val="24"/>
          <w:szCs w:val="24"/>
        </w:rPr>
        <w:t>Уплата штрафных санкций не освобождает Уполномоченное лицо от выполнения принятых на</w:t>
      </w:r>
      <w:r>
        <w:rPr>
          <w:rFonts w:ascii="Times New Roman" w:hAnsi="Times New Roman" w:cs="Times New Roman"/>
          <w:sz w:val="24"/>
          <w:szCs w:val="24"/>
        </w:rPr>
        <w:t xml:space="preserve"> себя обязательств по решению общего собрания собственников жилья</w:t>
      </w:r>
      <w:r w:rsidRPr="00291C32">
        <w:rPr>
          <w:rFonts w:ascii="Times New Roman" w:hAnsi="Times New Roman" w:cs="Times New Roman"/>
          <w:sz w:val="24"/>
          <w:szCs w:val="24"/>
        </w:rPr>
        <w:t>. Уполномоченное лицо освобождается от уплаты неустойки, штрафа,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B066C9" w:rsidRPr="003036A9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Управляющая организация</w:t>
      </w:r>
      <w:r w:rsidRPr="00291C32">
        <w:rPr>
          <w:rFonts w:ascii="Times New Roman" w:hAnsi="Times New Roman" w:cs="Times New Roman"/>
          <w:sz w:val="24"/>
          <w:szCs w:val="24"/>
        </w:rPr>
        <w:t>, на счете 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1C32">
        <w:rPr>
          <w:rFonts w:ascii="Times New Roman" w:hAnsi="Times New Roman" w:cs="Times New Roman"/>
          <w:sz w:val="24"/>
          <w:szCs w:val="24"/>
        </w:rPr>
        <w:t xml:space="preserve"> аккумулируются средства собственников помещений МКД, осуществляет учет поступающих сре</w:t>
      </w:r>
      <w:proofErr w:type="gramStart"/>
      <w:r w:rsidRPr="00291C3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91C32">
        <w:rPr>
          <w:rFonts w:ascii="Times New Roman" w:hAnsi="Times New Roman" w:cs="Times New Roman"/>
          <w:sz w:val="24"/>
          <w:szCs w:val="24"/>
        </w:rPr>
        <w:t>азрезе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 и помещений</w:t>
      </w:r>
      <w:r w:rsidRPr="00291C32">
        <w:rPr>
          <w:rFonts w:ascii="Times New Roman" w:hAnsi="Times New Roman" w:cs="Times New Roman"/>
          <w:sz w:val="24"/>
          <w:szCs w:val="24"/>
        </w:rPr>
        <w:t xml:space="preserve">, дворовые территории которых подлежат благоустройству. Еженедельно не позднее понедельника, </w:t>
      </w:r>
      <w:r w:rsidRPr="003036A9">
        <w:rPr>
          <w:rFonts w:ascii="Times New Roman" w:hAnsi="Times New Roman" w:cs="Times New Roman"/>
          <w:sz w:val="24"/>
          <w:szCs w:val="24"/>
        </w:rPr>
        <w:t>следующего за отчетной неделей, Управляющая организация составляет отчет согласно приложению 2 к Порядку</w:t>
      </w:r>
      <w:r w:rsidRPr="00D50CE7">
        <w:rPr>
          <w:rFonts w:ascii="Times New Roman" w:hAnsi="Times New Roman" w:cs="Times New Roman"/>
          <w:sz w:val="24"/>
          <w:szCs w:val="24"/>
        </w:rPr>
        <w:t xml:space="preserve"> </w:t>
      </w:r>
      <w:r w:rsidRPr="003036A9">
        <w:rPr>
          <w:rFonts w:ascii="Times New Roman" w:hAnsi="Times New Roman" w:cs="Times New Roman"/>
          <w:sz w:val="24"/>
          <w:szCs w:val="24"/>
        </w:rPr>
        <w:t>и направляет информацию в адрес общественной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(домовые советы) и заказчику работ МКУ «ОЖКХ».</w:t>
      </w:r>
      <w:r w:rsidRPr="00303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3036A9">
        <w:rPr>
          <w:rFonts w:ascii="Times New Roman" w:hAnsi="Times New Roman" w:cs="Times New Roman"/>
          <w:sz w:val="24"/>
          <w:szCs w:val="24"/>
        </w:rPr>
        <w:t>данные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36A9">
        <w:rPr>
          <w:rFonts w:ascii="Times New Roman" w:hAnsi="Times New Roman" w:cs="Times New Roman"/>
          <w:sz w:val="24"/>
          <w:szCs w:val="24"/>
        </w:rPr>
        <w:t xml:space="preserve"> согласно приложению 2 к Порядку публикуются на официальном сайте администрации муниципального образования «Светлогорский городской округ»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C9" w:rsidRDefault="00B066C9" w:rsidP="00B066C9">
      <w:pPr>
        <w:autoSpaceDE w:val="0"/>
        <w:autoSpaceDN w:val="0"/>
        <w:adjustRightInd w:val="0"/>
        <w:ind w:firstLine="567"/>
        <w:jc w:val="both"/>
      </w:pPr>
      <w:r w:rsidRPr="003036A9">
        <w:lastRenderedPageBreak/>
        <w:t xml:space="preserve">3.10. </w:t>
      </w:r>
      <w:r>
        <w:t>Управляющая организация, в течение трех рабочих дней с момента подписания актов выполненных работ КС</w:t>
      </w:r>
      <w:proofErr w:type="gramStart"/>
      <w:r>
        <w:t>2</w:t>
      </w:r>
      <w:proofErr w:type="gramEnd"/>
      <w:r>
        <w:t>, КС3</w:t>
      </w:r>
      <w:r w:rsidRPr="003036A9">
        <w:t xml:space="preserve"> перечисляет поступившие</w:t>
      </w:r>
      <w:r>
        <w:t xml:space="preserve"> </w:t>
      </w:r>
      <w:r w:rsidRPr="003036A9">
        <w:t>от заинтересованных лиц денежные средства в разрезе многоквартирных домов, дворовые территории которых подлежат благоустройству</w:t>
      </w:r>
      <w:r>
        <w:t>,</w:t>
      </w:r>
      <w:r w:rsidRPr="003036A9">
        <w:t xml:space="preserve"> заказчику работ </w:t>
      </w:r>
      <w:r>
        <w:t>МКУ</w:t>
      </w:r>
      <w:r w:rsidRPr="003036A9">
        <w:t xml:space="preserve"> «</w:t>
      </w:r>
      <w:r>
        <w:t>ОЖКХ»</w:t>
      </w:r>
      <w:r w:rsidRPr="003036A9">
        <w:t>.</w:t>
      </w:r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3.11</w:t>
      </w:r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. В  случае неисполнения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Управляющей организацией</w:t>
      </w:r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 обязанности по перечислению денежных сре</w:t>
      </w:r>
      <w:proofErr w:type="gramStart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>дств в пр</w:t>
      </w:r>
      <w:proofErr w:type="gramEnd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еделах общей доли </w:t>
      </w:r>
      <w:proofErr w:type="spellStart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 собственниками помещений МКД,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МКУ «ОЖКХ» </w:t>
      </w:r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осуществляет взыскание денежных средств, а также пени,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Управляющих Организаций</w:t>
      </w:r>
      <w:r w:rsidRPr="00291C32">
        <w:rPr>
          <w:rFonts w:ascii="Times New Roman" w:hAnsi="Times New Roman"/>
          <w:sz w:val="24"/>
          <w:szCs w:val="24"/>
          <w:shd w:val="clear" w:color="auto" w:fill="FFFFFF"/>
        </w:rPr>
        <w:t xml:space="preserve"> в судебном порядке. </w:t>
      </w:r>
      <w:r w:rsidRPr="00291C32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обязательств, начиная с даты </w:t>
      </w:r>
      <w:r>
        <w:rPr>
          <w:rFonts w:ascii="Times New Roman" w:hAnsi="Times New Roman"/>
          <w:sz w:val="24"/>
          <w:szCs w:val="24"/>
        </w:rPr>
        <w:t xml:space="preserve">подписания актов </w:t>
      </w:r>
      <w:r w:rsidRPr="00291C32">
        <w:rPr>
          <w:rFonts w:ascii="Times New Roman" w:hAnsi="Times New Roman"/>
          <w:sz w:val="24"/>
          <w:szCs w:val="24"/>
        </w:rPr>
        <w:t>выполнения работ</w:t>
      </w:r>
      <w:r w:rsidRPr="008D3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КС3</w:t>
      </w:r>
      <w:r w:rsidRPr="00291C32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 xml:space="preserve">ых Муниципальным контрактом, </w:t>
      </w:r>
      <w:r w:rsidRPr="00291C32">
        <w:rPr>
          <w:rFonts w:ascii="Times New Roman" w:hAnsi="Times New Roman"/>
          <w:sz w:val="24"/>
          <w:szCs w:val="24"/>
        </w:rPr>
        <w:t xml:space="preserve">в размере 1/300 действующей на дату уплаты пеней ключевой ставки </w:t>
      </w:r>
      <w:r>
        <w:rPr>
          <w:rFonts w:ascii="Times New Roman" w:hAnsi="Times New Roman"/>
          <w:sz w:val="24"/>
          <w:szCs w:val="24"/>
        </w:rPr>
        <w:t>Б</w:t>
      </w:r>
      <w:r w:rsidRPr="00291C32">
        <w:rPr>
          <w:rFonts w:ascii="Times New Roman" w:hAnsi="Times New Roman"/>
          <w:sz w:val="24"/>
          <w:szCs w:val="24"/>
        </w:rPr>
        <w:t xml:space="preserve">анка Росси от </w:t>
      </w:r>
      <w:proofErr w:type="spellStart"/>
      <w:r w:rsidRPr="00291C32">
        <w:rPr>
          <w:rFonts w:ascii="Times New Roman" w:hAnsi="Times New Roman"/>
          <w:sz w:val="24"/>
          <w:szCs w:val="24"/>
        </w:rPr>
        <w:t>неперечисленной</w:t>
      </w:r>
      <w:proofErr w:type="spellEnd"/>
      <w:r w:rsidRPr="00291C32">
        <w:rPr>
          <w:rFonts w:ascii="Times New Roman" w:hAnsi="Times New Roman"/>
          <w:sz w:val="24"/>
          <w:szCs w:val="24"/>
        </w:rPr>
        <w:t xml:space="preserve"> в срок суммы за каждый день просрочки.</w:t>
      </w:r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291C32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C32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Организацией </w:t>
      </w:r>
      <w:r w:rsidRPr="00291C32">
        <w:rPr>
          <w:rFonts w:ascii="Times New Roman" w:hAnsi="Times New Roman" w:cs="Times New Roman"/>
          <w:sz w:val="24"/>
          <w:szCs w:val="24"/>
        </w:rPr>
        <w:t xml:space="preserve">доли собственников помещений МКД на счет </w:t>
      </w:r>
      <w:r>
        <w:rPr>
          <w:rFonts w:ascii="Times New Roman" w:hAnsi="Times New Roman" w:cs="Times New Roman"/>
          <w:sz w:val="24"/>
          <w:szCs w:val="24"/>
        </w:rPr>
        <w:t>МКУ «ОЖКХ Светлогорского городского округа»</w:t>
      </w:r>
      <w:r w:rsidRPr="00291C32">
        <w:rPr>
          <w:rFonts w:ascii="Times New Roman" w:hAnsi="Times New Roman" w:cs="Times New Roman"/>
          <w:sz w:val="24"/>
          <w:szCs w:val="24"/>
        </w:rPr>
        <w:t xml:space="preserve"> к моменту наступления срока оплаты подрядной организации за выполненные работы в соответствии с Муниципальным контрактом, </w:t>
      </w:r>
      <w:r>
        <w:rPr>
          <w:rFonts w:ascii="Times New Roman" w:hAnsi="Times New Roman" w:cs="Times New Roman"/>
          <w:sz w:val="24"/>
          <w:szCs w:val="24"/>
        </w:rPr>
        <w:t>управляющим организациям</w:t>
      </w:r>
      <w:r w:rsidRPr="00291C32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</w:t>
      </w:r>
      <w:r>
        <w:rPr>
          <w:rFonts w:ascii="Times New Roman" w:hAnsi="Times New Roman" w:cs="Times New Roman"/>
          <w:sz w:val="24"/>
          <w:szCs w:val="24"/>
        </w:rPr>
        <w:t xml:space="preserve">Договором или Соглашением начисляются штрафы </w:t>
      </w:r>
      <w:r w:rsidRPr="00291C32">
        <w:rPr>
          <w:rFonts w:ascii="Times New Roman" w:hAnsi="Times New Roman" w:cs="Times New Roman"/>
          <w:sz w:val="24"/>
          <w:szCs w:val="24"/>
        </w:rPr>
        <w:t xml:space="preserve">в размере 10% от </w:t>
      </w:r>
      <w:proofErr w:type="spellStart"/>
      <w:r w:rsidRPr="00291C32">
        <w:rPr>
          <w:rFonts w:ascii="Times New Roman" w:hAnsi="Times New Roman" w:cs="Times New Roman"/>
          <w:sz w:val="24"/>
          <w:szCs w:val="24"/>
        </w:rPr>
        <w:t>неперечисленной</w:t>
      </w:r>
      <w:proofErr w:type="spellEnd"/>
      <w:r w:rsidRPr="00291C32">
        <w:rPr>
          <w:rFonts w:ascii="Times New Roman" w:hAnsi="Times New Roman" w:cs="Times New Roman"/>
          <w:sz w:val="24"/>
          <w:szCs w:val="24"/>
        </w:rPr>
        <w:t xml:space="preserve"> в срок суммы. </w:t>
      </w:r>
      <w:proofErr w:type="gramEnd"/>
    </w:p>
    <w:p w:rsidR="00B066C9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Pr="00291C32">
        <w:rPr>
          <w:rFonts w:ascii="Times New Roman" w:hAnsi="Times New Roman" w:cs="Times New Roman"/>
          <w:sz w:val="24"/>
          <w:szCs w:val="24"/>
        </w:rPr>
        <w:t xml:space="preserve">Уплата штрафных санкций не освобождает </w:t>
      </w:r>
      <w:r>
        <w:rPr>
          <w:rFonts w:ascii="Times New Roman" w:hAnsi="Times New Roman" w:cs="Times New Roman"/>
          <w:sz w:val="24"/>
          <w:szCs w:val="24"/>
        </w:rPr>
        <w:t>Управляющие Организации</w:t>
      </w:r>
      <w:r w:rsidRPr="00291C32">
        <w:rPr>
          <w:rFonts w:ascii="Times New Roman" w:hAnsi="Times New Roman" w:cs="Times New Roman"/>
          <w:sz w:val="24"/>
          <w:szCs w:val="24"/>
        </w:rPr>
        <w:t xml:space="preserve"> от выполнения принятых на себя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Договору или </w:t>
      </w:r>
      <w:r w:rsidRPr="00291C32">
        <w:rPr>
          <w:rFonts w:ascii="Times New Roman" w:hAnsi="Times New Roman" w:cs="Times New Roman"/>
          <w:sz w:val="24"/>
          <w:szCs w:val="24"/>
        </w:rPr>
        <w:t xml:space="preserve">Соглашению.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</w:t>
      </w:r>
      <w:r w:rsidRPr="00291C32">
        <w:rPr>
          <w:rFonts w:ascii="Times New Roman" w:hAnsi="Times New Roman" w:cs="Times New Roman"/>
          <w:sz w:val="24"/>
          <w:szCs w:val="24"/>
        </w:rPr>
        <w:t xml:space="preserve"> освобождается от уплаты неустойки, штрафа,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B066C9" w:rsidRPr="003036A9" w:rsidRDefault="00B066C9" w:rsidP="00B066C9">
      <w:pPr>
        <w:autoSpaceDE w:val="0"/>
        <w:autoSpaceDN w:val="0"/>
        <w:adjustRightInd w:val="0"/>
        <w:ind w:firstLine="567"/>
        <w:jc w:val="both"/>
      </w:pPr>
      <w:r w:rsidRPr="003036A9">
        <w:t>3.</w:t>
      </w:r>
      <w:r>
        <w:t>14</w:t>
      </w:r>
      <w:r w:rsidRPr="003036A9">
        <w:t xml:space="preserve">. Оплата минимального и дополнительного перечней работ </w:t>
      </w:r>
      <w:r>
        <w:t>по</w:t>
      </w:r>
      <w:r w:rsidRPr="003036A9">
        <w:t xml:space="preserve"> благоустройства дворов</w:t>
      </w:r>
      <w:r>
        <w:t>ых</w:t>
      </w:r>
      <w:r w:rsidRPr="003036A9">
        <w:t xml:space="preserve"> территории </w:t>
      </w:r>
      <w:r>
        <w:t>(</w:t>
      </w:r>
      <w:r w:rsidRPr="003036A9">
        <w:t xml:space="preserve">за счет средств </w:t>
      </w:r>
      <w:r>
        <w:t xml:space="preserve">федерального, областного, местного бюджета и </w:t>
      </w:r>
      <w:r w:rsidRPr="003036A9">
        <w:t xml:space="preserve">заинтересованных лиц, аккумулированных на банковском счете </w:t>
      </w:r>
      <w:r>
        <w:t xml:space="preserve">Управляющих Организаций) осуществляется            МКУ «ОЖКХ Светлогорского городского округа», путем перечисления денежных средств </w:t>
      </w:r>
      <w:r w:rsidRPr="003036A9">
        <w:t xml:space="preserve"> </w:t>
      </w:r>
      <w:r>
        <w:t>на расчетный счет</w:t>
      </w:r>
      <w:r w:rsidRPr="003036A9">
        <w:t xml:space="preserve"> подрядчик</w:t>
      </w:r>
      <w:r>
        <w:t>а</w:t>
      </w:r>
      <w:r w:rsidRPr="003036A9">
        <w:t xml:space="preserve"> (исполнител</w:t>
      </w:r>
      <w:r>
        <w:t>я</w:t>
      </w:r>
      <w:r w:rsidRPr="003036A9">
        <w:t>) работ в соответствии с условиями заключенного контракта</w:t>
      </w:r>
      <w:r>
        <w:t xml:space="preserve">. </w:t>
      </w:r>
      <w:r w:rsidRPr="003036A9">
        <w:t xml:space="preserve"> </w:t>
      </w:r>
      <w:r>
        <w:t>П</w:t>
      </w:r>
      <w:r w:rsidRPr="003036A9">
        <w:t xml:space="preserve">осле подписания соответствующих документов </w:t>
      </w:r>
      <w:r>
        <w:t>формы КС</w:t>
      </w:r>
      <w:proofErr w:type="gramStart"/>
      <w:r>
        <w:t>2</w:t>
      </w:r>
      <w:proofErr w:type="gramEnd"/>
      <w:r>
        <w:t xml:space="preserve">, КС3 </w:t>
      </w:r>
      <w:r w:rsidRPr="003036A9">
        <w:t>о приемке выполненных работ</w:t>
      </w:r>
      <w:r>
        <w:t xml:space="preserve"> и отсутствия претензий к качеству и объему выполненных работ</w:t>
      </w:r>
      <w:r w:rsidRPr="003036A9">
        <w:t>.</w:t>
      </w:r>
    </w:p>
    <w:p w:rsidR="00B066C9" w:rsidRPr="003036A9" w:rsidRDefault="00B066C9" w:rsidP="00B066C9">
      <w:pPr>
        <w:autoSpaceDE w:val="0"/>
        <w:autoSpaceDN w:val="0"/>
        <w:adjustRightInd w:val="0"/>
        <w:ind w:firstLine="567"/>
        <w:jc w:val="both"/>
      </w:pPr>
      <w:r w:rsidRPr="003036A9">
        <w:t>3.</w:t>
      </w:r>
      <w:r>
        <w:t>15</w:t>
      </w:r>
      <w:r w:rsidRPr="003036A9">
        <w:t xml:space="preserve">. </w:t>
      </w:r>
      <w:r>
        <w:t>Управляющие Организации обеспечиваю</w:t>
      </w:r>
      <w:r w:rsidRPr="003036A9">
        <w:t xml:space="preserve">т возврат </w:t>
      </w:r>
      <w:r>
        <w:t xml:space="preserve">излишне </w:t>
      </w:r>
      <w:r w:rsidRPr="003036A9">
        <w:t>аккумулированных денежных средств заинтересованны</w:t>
      </w:r>
      <w:r>
        <w:t xml:space="preserve">х лиц </w:t>
      </w:r>
      <w:r w:rsidRPr="003036A9">
        <w:t>в срок до</w:t>
      </w:r>
      <w:r>
        <w:t xml:space="preserve"> 20 </w:t>
      </w:r>
      <w:r w:rsidRPr="003036A9">
        <w:t>декабря текущего года при условии:</w:t>
      </w:r>
    </w:p>
    <w:p w:rsidR="00B066C9" w:rsidRPr="003036A9" w:rsidRDefault="00B066C9" w:rsidP="00B066C9">
      <w:pPr>
        <w:pStyle w:val="a3"/>
        <w:ind w:left="0" w:firstLine="567"/>
        <w:jc w:val="both"/>
      </w:pPr>
      <w:r w:rsidRPr="003036A9">
        <w:t xml:space="preserve">– экономии денежных средств по итогам </w:t>
      </w:r>
      <w:r>
        <w:t xml:space="preserve">проведенных </w:t>
      </w:r>
      <w:r w:rsidRPr="003036A9">
        <w:t>конкур</w:t>
      </w:r>
      <w:r>
        <w:t>с</w:t>
      </w:r>
      <w:r w:rsidRPr="003036A9">
        <w:t>ных процедур</w:t>
      </w:r>
      <w:r>
        <w:t>, выполнения работ и оказания услуг</w:t>
      </w:r>
      <w:r w:rsidRPr="003036A9">
        <w:t>;</w:t>
      </w:r>
    </w:p>
    <w:p w:rsidR="00B066C9" w:rsidRPr="003036A9" w:rsidRDefault="00B066C9" w:rsidP="00B066C9">
      <w:pPr>
        <w:pStyle w:val="a3"/>
        <w:ind w:left="0" w:firstLine="567"/>
        <w:jc w:val="both"/>
      </w:pPr>
      <w:r w:rsidRPr="003036A9">
        <w:t>– неисполнения работ по благоустройству дворовой территории многоквартирного дома по вине подрядной организации;</w:t>
      </w:r>
    </w:p>
    <w:p w:rsidR="00B066C9" w:rsidRPr="003036A9" w:rsidRDefault="00B066C9" w:rsidP="00B066C9">
      <w:pPr>
        <w:pStyle w:val="a3"/>
        <w:ind w:left="0" w:firstLine="567"/>
        <w:jc w:val="both"/>
      </w:pPr>
      <w:r w:rsidRPr="003036A9">
        <w:t xml:space="preserve">- </w:t>
      </w:r>
      <w:proofErr w:type="spellStart"/>
      <w:r w:rsidRPr="003036A9">
        <w:t>непредоставления</w:t>
      </w:r>
      <w:proofErr w:type="spellEnd"/>
      <w:r w:rsidRPr="003036A9">
        <w:t xml:space="preserve"> заинтересованными лицами доступа подрядной организации к дворовой территории для проведения работ;</w:t>
      </w:r>
    </w:p>
    <w:p w:rsidR="00B066C9" w:rsidRPr="003036A9" w:rsidRDefault="00B066C9" w:rsidP="00B066C9">
      <w:pPr>
        <w:pStyle w:val="a3"/>
        <w:ind w:left="0" w:firstLine="567"/>
        <w:jc w:val="both"/>
      </w:pPr>
      <w:r w:rsidRPr="003036A9">
        <w:t>– возникновения обстоятельств непреодолимой силы;</w:t>
      </w:r>
    </w:p>
    <w:p w:rsidR="00B066C9" w:rsidRPr="003036A9" w:rsidRDefault="00B066C9" w:rsidP="00B066C9">
      <w:pPr>
        <w:pStyle w:val="a3"/>
        <w:ind w:left="0" w:firstLine="567"/>
        <w:jc w:val="both"/>
      </w:pPr>
      <w:r w:rsidRPr="003036A9">
        <w:t>– возникновения иных случаев, предусмотренных действующим законодательством.</w:t>
      </w:r>
    </w:p>
    <w:p w:rsidR="00B066C9" w:rsidRPr="00291C32" w:rsidRDefault="00B066C9" w:rsidP="00B066C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Pr="00795767" w:rsidRDefault="00B066C9" w:rsidP="00B066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5767">
        <w:rPr>
          <w:rFonts w:ascii="Times New Roman" w:hAnsi="Times New Roman" w:cs="Times New Roman"/>
          <w:sz w:val="24"/>
          <w:szCs w:val="24"/>
        </w:rPr>
        <w:t xml:space="preserve">. Расходование и </w:t>
      </w:r>
      <w:proofErr w:type="gramStart"/>
      <w:r w:rsidRPr="00795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767">
        <w:rPr>
          <w:rFonts w:ascii="Times New Roman" w:hAnsi="Times New Roman" w:cs="Times New Roman"/>
          <w:sz w:val="24"/>
          <w:szCs w:val="24"/>
        </w:rPr>
        <w:t xml:space="preserve"> расходованием</w:t>
      </w:r>
    </w:p>
    <w:p w:rsidR="00B066C9" w:rsidRDefault="00B066C9" w:rsidP="00B06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5767">
        <w:rPr>
          <w:rFonts w:ascii="Times New Roman" w:hAnsi="Times New Roman" w:cs="Times New Roman"/>
          <w:sz w:val="24"/>
          <w:szCs w:val="24"/>
        </w:rPr>
        <w:t>аккумулированных средств заинтересованных лиц</w:t>
      </w:r>
    </w:p>
    <w:p w:rsidR="00B066C9" w:rsidRPr="00795767" w:rsidRDefault="00B066C9" w:rsidP="00B06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66C9" w:rsidRPr="00FD3DDC" w:rsidRDefault="00B066C9" w:rsidP="00B066C9">
      <w:pPr>
        <w:pStyle w:val="a3"/>
        <w:numPr>
          <w:ilvl w:val="1"/>
          <w:numId w:val="3"/>
        </w:numPr>
        <w:ind w:left="0" w:firstLine="709"/>
        <w:jc w:val="both"/>
      </w:pPr>
      <w:proofErr w:type="gramStart"/>
      <w:r>
        <w:t>К</w:t>
      </w:r>
      <w:r w:rsidRPr="00FD3DDC">
        <w:t xml:space="preserve">онтроль за расходованием средств заинтересованных лиц, направленных на выполнение минимального и дополнительного перечней работ для благоустройства дворовой территории, осуществляется администрацией </w:t>
      </w:r>
      <w:r>
        <w:t>МО «Светлогорского городского округа»</w:t>
      </w:r>
      <w:r w:rsidRPr="00FD3DDC">
        <w:t xml:space="preserve">, собственниками помещений многоквартирного дома, советом многоквартирного дома, </w:t>
      </w:r>
      <w:r>
        <w:t xml:space="preserve">УК, </w:t>
      </w:r>
      <w:r w:rsidRPr="00FD3DDC">
        <w:t xml:space="preserve">ТСЖ, </w:t>
      </w:r>
      <w:r>
        <w:t xml:space="preserve">ТСН, </w:t>
      </w:r>
      <w:r w:rsidRPr="00FD3DDC">
        <w:t>ЖСК</w:t>
      </w:r>
      <w:r>
        <w:t xml:space="preserve"> </w:t>
      </w:r>
      <w:r w:rsidRPr="00FD3DDC">
        <w:t xml:space="preserve"> в соответствии с действующим законодательством.</w:t>
      </w:r>
      <w:proofErr w:type="gramEnd"/>
    </w:p>
    <w:p w:rsidR="00B066C9" w:rsidRDefault="00B066C9" w:rsidP="00B066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905"/>
        <w:gridCol w:w="4905"/>
      </w:tblGrid>
      <w:tr w:rsidR="00B066C9" w:rsidRPr="00501397" w:rsidTr="00154386">
        <w:trPr>
          <w:trHeight w:val="1791"/>
        </w:trPr>
        <w:tc>
          <w:tcPr>
            <w:tcW w:w="4905" w:type="dxa"/>
          </w:tcPr>
          <w:p w:rsidR="00B066C9" w:rsidRPr="00501397" w:rsidRDefault="00B066C9" w:rsidP="00154386">
            <w:pPr>
              <w:widowControl w:val="0"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4905" w:type="dxa"/>
            <w:shd w:val="clear" w:color="auto" w:fill="auto"/>
          </w:tcPr>
          <w:p w:rsidR="00B066C9" w:rsidRDefault="00B066C9" w:rsidP="00154386">
            <w:pPr>
              <w:widowControl w:val="0"/>
              <w:tabs>
                <w:tab w:val="left" w:pos="2951"/>
              </w:tabs>
              <w:jc w:val="righ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Приложение № 1 </w:t>
            </w:r>
          </w:p>
          <w:p w:rsidR="00B066C9" w:rsidRPr="00501397" w:rsidRDefault="00B066C9" w:rsidP="00154386">
            <w:pPr>
              <w:widowControl w:val="0"/>
              <w:tabs>
                <w:tab w:val="left" w:pos="2951"/>
              </w:tabs>
              <w:jc w:val="righ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к  Порядку аккумулирования средств заинтересованных лиц, направляемых на выполнение минимального и дополнительного перечня работ по благоустройству дворовых территории, и механизм </w:t>
            </w:r>
            <w:proofErr w:type="gramStart"/>
            <w:r>
              <w:rPr>
                <w:bCs/>
                <w:color w:val="000000"/>
                <w:lang w:eastAsia="ar-SA"/>
              </w:rPr>
              <w:t>контроля за</w:t>
            </w:r>
            <w:proofErr w:type="gramEnd"/>
            <w:r>
              <w:rPr>
                <w:bCs/>
                <w:color w:val="000000"/>
                <w:lang w:eastAsia="ar-SA"/>
              </w:rPr>
              <w:t xml:space="preserve"> их расходованием </w:t>
            </w:r>
          </w:p>
        </w:tc>
      </w:tr>
    </w:tbl>
    <w:p w:rsidR="00B066C9" w:rsidRDefault="00B066C9" w:rsidP="00B066C9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B066C9" w:rsidRDefault="00B066C9" w:rsidP="00B066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C9" w:rsidRPr="003B7FCD" w:rsidRDefault="00B066C9" w:rsidP="00B066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CD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B066C9" w:rsidRPr="003B7FCD" w:rsidRDefault="00B066C9" w:rsidP="00B066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CD">
        <w:rPr>
          <w:rFonts w:ascii="Times New Roman" w:hAnsi="Times New Roman" w:cs="Times New Roman"/>
          <w:b/>
          <w:sz w:val="24"/>
          <w:szCs w:val="24"/>
        </w:rPr>
        <w:t xml:space="preserve">об аккумулировании денежных средств </w:t>
      </w:r>
    </w:p>
    <w:p w:rsidR="00B066C9" w:rsidRDefault="00B066C9" w:rsidP="00B066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CD">
        <w:rPr>
          <w:rFonts w:ascii="Times New Roman" w:hAnsi="Times New Roman" w:cs="Times New Roman"/>
          <w:b/>
          <w:sz w:val="24"/>
          <w:szCs w:val="24"/>
        </w:rPr>
        <w:t>собственников помещений многоквартирного дома</w:t>
      </w:r>
    </w:p>
    <w:p w:rsidR="00B066C9" w:rsidRPr="003B7FCD" w:rsidRDefault="00B066C9" w:rsidP="00B066C9">
      <w:pPr>
        <w:jc w:val="center"/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0"/>
        <w:gridCol w:w="2954"/>
        <w:gridCol w:w="3546"/>
      </w:tblGrid>
      <w:tr w:rsidR="00B066C9" w:rsidRPr="003B7FCD" w:rsidTr="00154386">
        <w:trPr>
          <w:trHeight w:val="20"/>
        </w:trPr>
        <w:tc>
          <w:tcPr>
            <w:tcW w:w="3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C9" w:rsidRPr="003B7FCD" w:rsidRDefault="00B066C9" w:rsidP="00154386">
            <w:pPr>
              <w:widowControl w:val="0"/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  <w:r w:rsidRPr="003B7FCD">
              <w:rPr>
                <w:kern w:val="3"/>
                <w:lang w:bidi="hi-IN"/>
              </w:rPr>
              <w:t>г. Светлогорск</w:t>
            </w:r>
          </w:p>
        </w:tc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6C9" w:rsidRPr="003B7FCD" w:rsidRDefault="00B066C9" w:rsidP="00154386">
            <w:pPr>
              <w:widowControl w:val="0"/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C9" w:rsidRPr="003B7FCD" w:rsidRDefault="00B066C9" w:rsidP="00154386">
            <w:pPr>
              <w:widowControl w:val="0"/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  <w:r w:rsidRPr="003B7FCD">
              <w:rPr>
                <w:kern w:val="3"/>
                <w:lang w:bidi="hi-IN"/>
              </w:rPr>
              <w:t>«____» ____________ 20__ года</w:t>
            </w:r>
          </w:p>
        </w:tc>
      </w:tr>
    </w:tbl>
    <w:p w:rsidR="00B066C9" w:rsidRDefault="00B066C9" w:rsidP="00B066C9">
      <w:pPr>
        <w:widowControl w:val="0"/>
        <w:jc w:val="center"/>
        <w:rPr>
          <w:b/>
          <w:shd w:val="clear" w:color="auto" w:fill="FFFFFF"/>
        </w:rPr>
      </w:pPr>
    </w:p>
    <w:p w:rsidR="00B066C9" w:rsidRPr="003B7FCD" w:rsidRDefault="00B066C9" w:rsidP="00B066C9">
      <w:pPr>
        <w:widowControl w:val="0"/>
        <w:jc w:val="both"/>
      </w:pPr>
      <w:proofErr w:type="gramStart"/>
      <w:r w:rsidRPr="003B7FCD">
        <w:rPr>
          <w:color w:val="000000" w:themeColor="text1"/>
        </w:rPr>
        <w:t xml:space="preserve">Муниципальное казенное учреждение «Отдел жилищно-коммунального хозяйства Светлогорского городского округа» (МКУ «Отдел ЖКХ Светлогорского городского округа»), именуемое в дальнейшем </w:t>
      </w:r>
      <w:r w:rsidRPr="003B7FCD">
        <w:rPr>
          <w:b/>
          <w:color w:val="000000" w:themeColor="text1"/>
        </w:rPr>
        <w:t>«Муниципальный заказчик»</w:t>
      </w:r>
      <w:r w:rsidRPr="003B7FCD">
        <w:rPr>
          <w:color w:val="000000" w:themeColor="text1"/>
        </w:rPr>
        <w:t xml:space="preserve">, в лице начальника Масленникова Ивана Евгеньевича, действующего на основании Устава, с одной стороны, и  </w:t>
      </w:r>
      <w:r w:rsidRPr="003B7FCD">
        <w:t xml:space="preserve">__________________________ (полное название организации), именуемое в дальнейшем </w:t>
      </w:r>
      <w:r w:rsidRPr="003B7FCD">
        <w:rPr>
          <w:b/>
        </w:rPr>
        <w:t>«Уполномоченным лицом»</w:t>
      </w:r>
      <w:r w:rsidRPr="003B7FCD">
        <w:t>, в лице ________________, действующего на основании _______________, с другой стороны, вместе именуемые в дальнейшем Стороны, заключили настоящее Соглашение, о нижеследующем:</w:t>
      </w:r>
      <w:proofErr w:type="gramEnd"/>
    </w:p>
    <w:p w:rsidR="00B066C9" w:rsidRPr="003B7FCD" w:rsidRDefault="00B066C9" w:rsidP="00B066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B066C9" w:rsidRPr="003B7FCD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B7FCD">
        <w:rPr>
          <w:rFonts w:ascii="Times New Roman" w:hAnsi="Times New Roman" w:cs="Times New Roman"/>
          <w:sz w:val="24"/>
          <w:szCs w:val="24"/>
        </w:rPr>
        <w:t>Настоящее соглашение регламентирует отношения между «Муниципальным заказчиком» и «Уполномоченным лицом» по аккумулированию средств собственников помещений многоквартирного дома, расположенного по адресу: _________________________, __________________________________ на проведение работ по благоустройству дворовой территории многоквартирного дома, расположенного в границах муниципального образования «Светлогорский городской округ» по адресу: ______________________________, ____________________________ (далее – дворовая территория МКД), в соответствии с муниципальной программой «Формирование современной городской среды», утвержденной постановлением администрации муниципального образования «Светлогорский городской округ</w:t>
      </w:r>
      <w:proofErr w:type="gramEnd"/>
      <w:r w:rsidRPr="003B7FCD">
        <w:rPr>
          <w:rFonts w:ascii="Times New Roman" w:hAnsi="Times New Roman" w:cs="Times New Roman"/>
          <w:sz w:val="24"/>
          <w:szCs w:val="24"/>
        </w:rPr>
        <w:t>» от 26.03.2019 г. № 258  (далее – Программа).</w:t>
      </w:r>
    </w:p>
    <w:p w:rsidR="00B066C9" w:rsidRPr="003B7FCD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>1.2. Собственники помещений многоквартирного дома (далее – МКД) принимают участие в благоустройстве своей дворовой территории МКД в форме денежного вклада (финансового участия).</w:t>
      </w:r>
    </w:p>
    <w:p w:rsidR="00B066C9" w:rsidRPr="003B7FCD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B7FCD">
        <w:rPr>
          <w:rFonts w:ascii="Times New Roman" w:hAnsi="Times New Roman" w:cs="Times New Roman"/>
          <w:sz w:val="24"/>
          <w:szCs w:val="24"/>
        </w:rPr>
        <w:t>Целью аккумулирования денежных средств собственников помещений многоквартирного дома (далее – МКД), которые приняли решение о благоустройстве своей дворовой территории, является финансовое участие собственников помещений МКД в проведении работ по благоустройству в соответствии со стандартами качества, обеспечивающими современные и комфортные условия проживания граждан согласно минимальному и дополнительному перечням работ по благоустройству дворовой территории, предусмотренных Программой.</w:t>
      </w:r>
      <w:proofErr w:type="gramEnd"/>
      <w:r w:rsidRPr="003B7FCD">
        <w:rPr>
          <w:rFonts w:ascii="Times New Roman" w:hAnsi="Times New Roman" w:cs="Times New Roman"/>
          <w:sz w:val="24"/>
          <w:szCs w:val="24"/>
        </w:rPr>
        <w:t xml:space="preserve"> Доля финансового участия собственников помещений МКД в проведении указанных работ составляет 5 % общего объема средств на благоустройство дворовой территории МКД, что составляет _________________________________________________ рублей.</w:t>
      </w:r>
    </w:p>
    <w:p w:rsidR="00B066C9" w:rsidRPr="003B7FCD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 xml:space="preserve">1.4. Аккумулирование денежных средств собственников помещений МКД на проведение работ по благоустройству дворовой территории МКД осуществляется на специальном счете «Уполномоченного лица», открытом в кредитной организации в установленном порядке. </w:t>
      </w:r>
    </w:p>
    <w:p w:rsidR="00B066C9" w:rsidRPr="003B7FCD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>1.5. Собственники помещений МКД самостоятельно определяют объем денежных средств каждого собственника в пределах общей доли финансового участия собственников помещений МКД и порядок сбора денежных сре</w:t>
      </w:r>
      <w:proofErr w:type="gramStart"/>
      <w:r w:rsidRPr="003B7FC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B7FCD">
        <w:rPr>
          <w:rFonts w:ascii="Times New Roman" w:hAnsi="Times New Roman" w:cs="Times New Roman"/>
          <w:sz w:val="24"/>
          <w:szCs w:val="24"/>
        </w:rPr>
        <w:t xml:space="preserve">я перечисления Уполномоченному лицу на его специальный счет в кредитной организации (далее – счет), указанный в разделе 6 настоящего </w:t>
      </w:r>
      <w:r w:rsidRPr="003B7FCD">
        <w:rPr>
          <w:rFonts w:ascii="Times New Roman" w:hAnsi="Times New Roman" w:cs="Times New Roman"/>
          <w:sz w:val="24"/>
          <w:szCs w:val="24"/>
        </w:rPr>
        <w:lastRenderedPageBreak/>
        <w:t>соглашения.</w:t>
      </w:r>
    </w:p>
    <w:p w:rsidR="00B066C9" w:rsidRPr="003B7FCD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 xml:space="preserve">1.6.  Денежные средства собственников МКД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дворовых территорий. </w:t>
      </w:r>
    </w:p>
    <w:p w:rsidR="00B066C9" w:rsidRDefault="00B066C9" w:rsidP="00B066C9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066C9" w:rsidRPr="00547527" w:rsidRDefault="00B066C9" w:rsidP="00B066C9">
      <w:pPr>
        <w:pStyle w:val="a3"/>
        <w:numPr>
          <w:ilvl w:val="0"/>
          <w:numId w:val="5"/>
        </w:numPr>
        <w:autoSpaceDE w:val="0"/>
        <w:autoSpaceDN w:val="0"/>
        <w:adjustRightInd w:val="0"/>
        <w:ind w:right="-159"/>
        <w:jc w:val="center"/>
        <w:rPr>
          <w:bCs/>
        </w:rPr>
      </w:pPr>
      <w:r w:rsidRPr="00547527">
        <w:rPr>
          <w:bCs/>
        </w:rPr>
        <w:t>Права и обязанности Сторон</w:t>
      </w:r>
    </w:p>
    <w:p w:rsidR="00B066C9" w:rsidRPr="00547527" w:rsidRDefault="00B066C9" w:rsidP="00B066C9">
      <w:pPr>
        <w:pStyle w:val="a3"/>
        <w:autoSpaceDE w:val="0"/>
        <w:autoSpaceDN w:val="0"/>
        <w:adjustRightInd w:val="0"/>
        <w:ind w:right="-159"/>
        <w:rPr>
          <w:bCs/>
        </w:rPr>
      </w:pP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 xml:space="preserve">2.1. </w:t>
      </w:r>
      <w:r w:rsidRPr="003B7FCD">
        <w:rPr>
          <w:b/>
          <w:bCs/>
        </w:rPr>
        <w:t>Уполномоченное лицо</w:t>
      </w:r>
      <w:r w:rsidRPr="003B7FCD">
        <w:t xml:space="preserve"> в течение срока действия соглашения:</w:t>
      </w:r>
    </w:p>
    <w:p w:rsidR="00B066C9" w:rsidRPr="003B7FCD" w:rsidRDefault="00B066C9" w:rsidP="00B066C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>2.1.1. Не позднее 3 (трех) рабочих дней с даты подписания настоящего Соглашения, обязан перечислить долю собственников помещений МКД на счет «Муниципального заказчика» в кредитной организации, в размере определенном пунктом 1.3 настоящего соглашения, согласно подписанным актам выполненных работ формы КС</w:t>
      </w:r>
      <w:proofErr w:type="gramStart"/>
      <w:r w:rsidRPr="003B7FC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FCD">
        <w:rPr>
          <w:rFonts w:ascii="Times New Roman" w:hAnsi="Times New Roman" w:cs="Times New Roman"/>
          <w:sz w:val="24"/>
          <w:szCs w:val="24"/>
        </w:rPr>
        <w:t>,  КС3 и счета.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2.1.2. Вправе осуществлять контроль целевого использования денежных средств собственников помещений МКД, перечисленных на счет Муниципального заказчика согласно настоящему соглашению, на основании предоставленных Муниципальным заказчиком заверенных копий платежных документов.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rPr>
          <w:shd w:val="clear" w:color="auto" w:fill="FFFFFF"/>
        </w:rPr>
        <w:t>2.1.3. В  случае неисполнения собственниками помещений МКД обязанности по перечислению денежных сре</w:t>
      </w:r>
      <w:proofErr w:type="gramStart"/>
      <w:r w:rsidRPr="003B7FCD">
        <w:rPr>
          <w:shd w:val="clear" w:color="auto" w:fill="FFFFFF"/>
        </w:rPr>
        <w:t>дств в пр</w:t>
      </w:r>
      <w:proofErr w:type="gramEnd"/>
      <w:r w:rsidRPr="003B7FCD">
        <w:rPr>
          <w:shd w:val="clear" w:color="auto" w:fill="FFFFFF"/>
        </w:rPr>
        <w:t xml:space="preserve">еделах общей доли </w:t>
      </w:r>
      <w:proofErr w:type="spellStart"/>
      <w:r w:rsidRPr="003B7FCD">
        <w:rPr>
          <w:shd w:val="clear" w:color="auto" w:fill="FFFFFF"/>
        </w:rPr>
        <w:t>софинансирования</w:t>
      </w:r>
      <w:proofErr w:type="spellEnd"/>
      <w:r w:rsidRPr="003B7FCD">
        <w:rPr>
          <w:shd w:val="clear" w:color="auto" w:fill="FFFFFF"/>
        </w:rPr>
        <w:t xml:space="preserve"> собственниками помещений МКД «Уполномоченное лицо» осуществляет взыскание денежных средств, а также пени, с собственников помещений МКД в судебном порядке. </w:t>
      </w:r>
      <w:r w:rsidRPr="003B7FCD">
        <w:t xml:space="preserve">Пеня начисляется за каждый день просрочки исполнения обязательств, начиная </w:t>
      </w:r>
      <w:proofErr w:type="gramStart"/>
      <w:r w:rsidRPr="003B7FCD">
        <w:t>с даты начала</w:t>
      </w:r>
      <w:proofErr w:type="gramEnd"/>
      <w:r w:rsidRPr="003B7FCD">
        <w:t xml:space="preserve"> выполнения работ, предусмотренного Муниципальным контрактом. Такая пеня устанавливается в размере 1/300 действующей на дату уплаты пеней ключевой ставки Центрального банка Российской Федерации от не перечисленной в срок суммы за каждый день просрочки.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2.1.4. Обеспечивает возврат неиспользованных средств собственников помещений МКД, потребность в которых отсутствует, в срок до 20 декабря 2019 года.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 xml:space="preserve">2.2. </w:t>
      </w:r>
      <w:r w:rsidRPr="003B7FCD">
        <w:rPr>
          <w:b/>
          <w:color w:val="000000" w:themeColor="text1"/>
        </w:rPr>
        <w:t>МКУ «Отдел ЖКХ Светлогорского городского округа»</w:t>
      </w:r>
      <w:r w:rsidRPr="003B7FCD">
        <w:t xml:space="preserve"> в течение срока действия соглашения: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2.2.1. Использует денежные средства собственников помещений МКД строго по целевому назначению.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 xml:space="preserve">2.2.2. Осуществляет </w:t>
      </w:r>
      <w:proofErr w:type="gramStart"/>
      <w:r w:rsidRPr="003B7FCD">
        <w:t>контроль за</w:t>
      </w:r>
      <w:proofErr w:type="gramEnd"/>
      <w:r w:rsidRPr="003B7FCD">
        <w:t xml:space="preserve"> своевременностью перечисления Уполномоченным лицом и объемом денежных средств собственников МКД в соответствии с условиями настоящего соглашения. 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rPr>
          <w:bCs/>
        </w:rPr>
        <w:t>2.2.3.</w:t>
      </w:r>
      <w:r w:rsidRPr="003B7FCD">
        <w:rPr>
          <w:b/>
          <w:bCs/>
        </w:rPr>
        <w:t xml:space="preserve"> </w:t>
      </w:r>
      <w:r w:rsidRPr="003B7FCD">
        <w:rPr>
          <w:bCs/>
        </w:rPr>
        <w:t xml:space="preserve"> </w:t>
      </w:r>
      <w:r w:rsidRPr="003B7FCD">
        <w:t xml:space="preserve">В случае просрочки исполнения Уполномоченным лицом обязательств по перечислению доли собственников помещений МКД на счет </w:t>
      </w:r>
      <w:r w:rsidRPr="003B7FCD">
        <w:rPr>
          <w:color w:val="000000" w:themeColor="text1"/>
        </w:rPr>
        <w:t>МКУ «Отдел ЖКХ Светлогорского городского округа»</w:t>
      </w:r>
      <w:r w:rsidRPr="003B7FCD">
        <w:t xml:space="preserve">, предусмотренных настоящим соглашением, вправе потребовать от Уполномоченного лица уплаты неустоек (штрафов, пеней). Пеня начисляется за каждый день просрочки исполнения обязательств, начиная </w:t>
      </w:r>
      <w:proofErr w:type="gramStart"/>
      <w:r w:rsidRPr="003B7FCD">
        <w:t>с даты начала</w:t>
      </w:r>
      <w:proofErr w:type="gramEnd"/>
      <w:r w:rsidRPr="003B7FCD">
        <w:t xml:space="preserve"> выполнения работ, предусмотренного Муниципальным контрактом. Такая пеня устанавливается в размере 1/300 действующей на дату уплаты пеней ключевой ставки Центрального банка Российской Федерации от не перечисленной в срок суммы за каждый день просрочки.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  <w:rPr>
          <w:kern w:val="28"/>
        </w:rPr>
      </w:pPr>
      <w:r w:rsidRPr="003B7FCD">
        <w:t xml:space="preserve">2.2.4. Публикует на официальном сайте администрации муниципального образования «Светлогорский городской округ» в сети Интернет информацию о поступлении денежных средств собственников помещений МКД. 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2.2.5. В случае изменения платежных реквизитов незамедлительно уведомляет Уполномоченное лицо путем направления соответствующего письменного извещения.</w:t>
      </w:r>
    </w:p>
    <w:p w:rsidR="00B066C9" w:rsidRDefault="00B066C9" w:rsidP="00B066C9">
      <w:pPr>
        <w:autoSpaceDE w:val="0"/>
        <w:autoSpaceDN w:val="0"/>
        <w:adjustRightInd w:val="0"/>
        <w:ind w:right="-159" w:firstLine="709"/>
        <w:jc w:val="both"/>
      </w:pPr>
    </w:p>
    <w:p w:rsidR="00B066C9" w:rsidRPr="00547527" w:rsidRDefault="00B066C9" w:rsidP="00B066C9">
      <w:pPr>
        <w:pStyle w:val="a3"/>
        <w:numPr>
          <w:ilvl w:val="0"/>
          <w:numId w:val="5"/>
        </w:numPr>
        <w:autoSpaceDE w:val="0"/>
        <w:autoSpaceDN w:val="0"/>
        <w:adjustRightInd w:val="0"/>
        <w:ind w:right="-159"/>
        <w:jc w:val="center"/>
        <w:rPr>
          <w:bCs/>
        </w:rPr>
      </w:pPr>
      <w:r w:rsidRPr="00547527">
        <w:rPr>
          <w:bCs/>
        </w:rPr>
        <w:t>Ответственность Сторон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lastRenderedPageBreak/>
        <w:t>3.1.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B066C9" w:rsidRPr="003B7FCD" w:rsidRDefault="00B066C9" w:rsidP="00B066C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FCD">
        <w:rPr>
          <w:rFonts w:ascii="Times New Roman" w:hAnsi="Times New Roman" w:cs="Times New Roman"/>
          <w:sz w:val="24"/>
          <w:szCs w:val="24"/>
        </w:rPr>
        <w:t xml:space="preserve">3.2. В случае не перечисления Уполномоченным лицом доли собственников помещений МКД на счет «Муниципального заказчика» к моменту наступления срока оплаты подрядной организации за выполненные работы в соответствии с Муниципальным контрактом, Уполномоченному лицу в соответствии с заключенным Соглашением начисляются штрафы. Размер штрафа устанавливается в размере 10% от </w:t>
      </w:r>
      <w:proofErr w:type="spellStart"/>
      <w:r w:rsidRPr="003B7FCD">
        <w:rPr>
          <w:rFonts w:ascii="Times New Roman" w:hAnsi="Times New Roman" w:cs="Times New Roman"/>
          <w:sz w:val="24"/>
          <w:szCs w:val="24"/>
        </w:rPr>
        <w:t>неперечисленной</w:t>
      </w:r>
      <w:proofErr w:type="spellEnd"/>
      <w:r w:rsidRPr="003B7FCD">
        <w:rPr>
          <w:rFonts w:ascii="Times New Roman" w:hAnsi="Times New Roman" w:cs="Times New Roman"/>
          <w:sz w:val="24"/>
          <w:szCs w:val="24"/>
        </w:rPr>
        <w:t xml:space="preserve"> в срок суммы. Уплата штрафных санкций не освобождает Уполномоченное лицо от выполнения принятых на себя обязательств по настоящему соглашению.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3.3. В случае нецелевого использования перечисленных в соответствии с настоящим соглашением денежных средств собственников помещений МКД, «Уполномоченное лицо» в бесспорном порядке возвращает собственникам денежные средства в размере использованных не по назначению денежных средств.</w:t>
      </w:r>
    </w:p>
    <w:p w:rsidR="00B066C9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 xml:space="preserve">3.4. </w:t>
      </w:r>
      <w:proofErr w:type="gramStart"/>
      <w:r w:rsidRPr="003B7FCD">
        <w:t>Стороны не несут имущественной и иной ответственности за полное или частичное невыполнение обязательств по настоящему соглашению, если докажут в суде, что надлежащее исполнение оказалось невозможным вследствие обстоятельств непреодолимой силы (стихийные бедствия, военные действия и т.п.), т.е. чрезвычайных и непредотвратимых при данных условиях обстоятельствах, которые Стороны не могли предвидеть и предотвратить.</w:t>
      </w:r>
      <w:proofErr w:type="gramEnd"/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</w:p>
    <w:p w:rsidR="00B066C9" w:rsidRPr="00547527" w:rsidRDefault="00B066C9" w:rsidP="00B066C9">
      <w:pPr>
        <w:pStyle w:val="a3"/>
        <w:numPr>
          <w:ilvl w:val="0"/>
          <w:numId w:val="5"/>
        </w:numPr>
        <w:autoSpaceDE w:val="0"/>
        <w:autoSpaceDN w:val="0"/>
        <w:adjustRightInd w:val="0"/>
        <w:ind w:right="-159"/>
        <w:jc w:val="center"/>
      </w:pPr>
      <w:r w:rsidRPr="00547527">
        <w:t>Условия и порядок расторжения соглашения</w:t>
      </w:r>
    </w:p>
    <w:p w:rsidR="00B066C9" w:rsidRPr="00547527" w:rsidRDefault="00B066C9" w:rsidP="00B066C9">
      <w:pPr>
        <w:autoSpaceDE w:val="0"/>
        <w:autoSpaceDN w:val="0"/>
        <w:adjustRightInd w:val="0"/>
        <w:ind w:right="-227" w:firstLine="360"/>
        <w:jc w:val="both"/>
      </w:pPr>
      <w:r>
        <w:t xml:space="preserve">     4.1. </w:t>
      </w:r>
      <w:r w:rsidRPr="00547527">
        <w:t>Все споры и разногласия, возникающие при реализации настоящего соглашения, разрешаются между Сторонами путем переговоров и служебной переписки. В случае невозможности такого урегулирования разногласия подлежат рассмотрению в установленном законодательством Российской Федерации судебном порядке.</w:t>
      </w:r>
    </w:p>
    <w:p w:rsidR="00B066C9" w:rsidRDefault="00B066C9" w:rsidP="00B066C9">
      <w:pPr>
        <w:tabs>
          <w:tab w:val="left" w:pos="-30"/>
          <w:tab w:val="center" w:pos="4860"/>
        </w:tabs>
        <w:autoSpaceDE w:val="0"/>
        <w:autoSpaceDN w:val="0"/>
        <w:adjustRightInd w:val="0"/>
        <w:ind w:right="-159"/>
        <w:jc w:val="center"/>
        <w:rPr>
          <w:bCs/>
        </w:rPr>
      </w:pPr>
    </w:p>
    <w:p w:rsidR="00B066C9" w:rsidRPr="00547527" w:rsidRDefault="00B066C9" w:rsidP="00B066C9">
      <w:pPr>
        <w:pStyle w:val="a3"/>
        <w:numPr>
          <w:ilvl w:val="0"/>
          <w:numId w:val="5"/>
        </w:numPr>
        <w:tabs>
          <w:tab w:val="left" w:pos="-30"/>
          <w:tab w:val="center" w:pos="4860"/>
        </w:tabs>
        <w:autoSpaceDE w:val="0"/>
        <w:autoSpaceDN w:val="0"/>
        <w:adjustRightInd w:val="0"/>
        <w:ind w:right="-159"/>
        <w:jc w:val="center"/>
        <w:rPr>
          <w:bCs/>
        </w:rPr>
      </w:pPr>
      <w:r w:rsidRPr="00547527">
        <w:rPr>
          <w:bCs/>
        </w:rPr>
        <w:t>Срок действия соглашения</w:t>
      </w:r>
    </w:p>
    <w:p w:rsidR="00B066C9" w:rsidRPr="00547527" w:rsidRDefault="00B066C9" w:rsidP="00B066C9">
      <w:pPr>
        <w:pStyle w:val="a3"/>
        <w:tabs>
          <w:tab w:val="left" w:pos="-30"/>
          <w:tab w:val="center" w:pos="4860"/>
        </w:tabs>
        <w:autoSpaceDE w:val="0"/>
        <w:autoSpaceDN w:val="0"/>
        <w:adjustRightInd w:val="0"/>
        <w:ind w:right="-159"/>
        <w:rPr>
          <w:bCs/>
        </w:rPr>
      </w:pP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5.1. Соглашение вступает в силу со дня его подписания Сторонами и до полного исполнения обязатель</w:t>
      </w:r>
      <w:proofErr w:type="gramStart"/>
      <w:r w:rsidRPr="003B7FCD">
        <w:t>ств Ст</w:t>
      </w:r>
      <w:proofErr w:type="gramEnd"/>
      <w:r w:rsidRPr="003B7FCD">
        <w:t>оронами.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</w:pPr>
      <w:r w:rsidRPr="003B7FCD">
        <w:t>5.2. Изменение условий настоящего соглашения производится по взаимному согласию Сторон с обязательным составлением письменного документа, являющегося неотъемлемой частью настоящего соглашения.</w:t>
      </w:r>
    </w:p>
    <w:p w:rsidR="00B066C9" w:rsidRPr="003B7FCD" w:rsidRDefault="00B066C9" w:rsidP="00B066C9">
      <w:pPr>
        <w:autoSpaceDE w:val="0"/>
        <w:autoSpaceDN w:val="0"/>
        <w:adjustRightInd w:val="0"/>
        <w:ind w:right="-159" w:firstLine="709"/>
        <w:jc w:val="both"/>
        <w:rPr>
          <w:b/>
          <w:bCs/>
        </w:rPr>
      </w:pPr>
      <w:r w:rsidRPr="003B7FCD">
        <w:t>5.3. Соглашение составлено в 2-х экземплярах, имеющих одинаковую юридическую силу, по одному для каждой Стороны.</w:t>
      </w:r>
    </w:p>
    <w:p w:rsidR="00B066C9" w:rsidRPr="003B7FCD" w:rsidRDefault="00B066C9" w:rsidP="00B066C9">
      <w:pPr>
        <w:pStyle w:val="a3"/>
        <w:numPr>
          <w:ilvl w:val="0"/>
          <w:numId w:val="4"/>
        </w:numPr>
        <w:autoSpaceDE w:val="0"/>
        <w:autoSpaceDN w:val="0"/>
        <w:adjustRightInd w:val="0"/>
        <w:ind w:right="-159"/>
        <w:jc w:val="center"/>
      </w:pPr>
      <w:r w:rsidRPr="003B7FCD">
        <w:rPr>
          <w:bCs/>
        </w:rPr>
        <w:t>Адреса, реквизиты и подписи Сторон</w:t>
      </w:r>
    </w:p>
    <w:p w:rsidR="00B066C9" w:rsidRPr="003B7FCD" w:rsidRDefault="00B066C9" w:rsidP="00B066C9">
      <w:pPr>
        <w:rPr>
          <w:b/>
          <w:bCs/>
        </w:rPr>
      </w:pPr>
    </w:p>
    <w:tbl>
      <w:tblPr>
        <w:tblW w:w="9807" w:type="dxa"/>
        <w:tblLayout w:type="fixed"/>
        <w:tblLook w:val="04A0"/>
      </w:tblPr>
      <w:tblGrid>
        <w:gridCol w:w="5101"/>
        <w:gridCol w:w="4706"/>
      </w:tblGrid>
      <w:tr w:rsidR="00B066C9" w:rsidRPr="003B7FCD" w:rsidTr="00B066C9">
        <w:trPr>
          <w:trHeight w:val="406"/>
        </w:trPr>
        <w:tc>
          <w:tcPr>
            <w:tcW w:w="5101" w:type="dxa"/>
          </w:tcPr>
          <w:p w:rsidR="00B066C9" w:rsidRPr="003B7FCD" w:rsidRDefault="00B066C9" w:rsidP="00154386">
            <w:r w:rsidRPr="003B7FCD">
              <w:rPr>
                <w:b/>
              </w:rPr>
              <w:t>Муниципальный заказчик:</w:t>
            </w:r>
          </w:p>
        </w:tc>
        <w:tc>
          <w:tcPr>
            <w:tcW w:w="4706" w:type="dxa"/>
          </w:tcPr>
          <w:p w:rsidR="00B066C9" w:rsidRPr="003B7FCD" w:rsidRDefault="00B066C9" w:rsidP="00154386">
            <w:pPr>
              <w:rPr>
                <w:b/>
              </w:rPr>
            </w:pPr>
            <w:r w:rsidRPr="003B7FCD">
              <w:rPr>
                <w:b/>
              </w:rPr>
              <w:t>Уполномоченное лицо:</w:t>
            </w:r>
          </w:p>
        </w:tc>
      </w:tr>
      <w:tr w:rsidR="00B066C9" w:rsidRPr="003B7FCD" w:rsidTr="00B066C9">
        <w:trPr>
          <w:trHeight w:val="555"/>
        </w:trPr>
        <w:tc>
          <w:tcPr>
            <w:tcW w:w="5101" w:type="dxa"/>
          </w:tcPr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B7FCD">
              <w:rPr>
                <w:rFonts w:ascii="Times New Roman" w:hAnsi="Times New Roman"/>
                <w:b/>
                <w:sz w:val="24"/>
                <w:szCs w:val="24"/>
              </w:rPr>
              <w:t>МКУ «Отдел ЖКХ  Светлогорского городского округа»</w:t>
            </w:r>
            <w:r w:rsidRPr="003B7FC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706" w:type="dxa"/>
          </w:tcPr>
          <w:p w:rsidR="00B066C9" w:rsidRPr="003B7FCD" w:rsidRDefault="00B066C9" w:rsidP="00154386">
            <w:pPr>
              <w:rPr>
                <w:b/>
              </w:rPr>
            </w:pPr>
          </w:p>
        </w:tc>
      </w:tr>
      <w:tr w:rsidR="00B066C9" w:rsidRPr="003B7FCD" w:rsidTr="00B066C9">
        <w:trPr>
          <w:trHeight w:val="2490"/>
        </w:trPr>
        <w:tc>
          <w:tcPr>
            <w:tcW w:w="5101" w:type="dxa"/>
          </w:tcPr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>238563, Россия, Калининградская обл.,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F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FCD">
              <w:rPr>
                <w:rFonts w:ascii="Times New Roman" w:hAnsi="Times New Roman"/>
                <w:sz w:val="24"/>
                <w:szCs w:val="24"/>
              </w:rPr>
              <w:t xml:space="preserve">ветлогорск, Калининградский </w:t>
            </w:r>
            <w:proofErr w:type="spellStart"/>
            <w:r w:rsidRPr="003B7FCD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3B7FCD">
              <w:rPr>
                <w:rFonts w:ascii="Times New Roman" w:hAnsi="Times New Roman"/>
                <w:sz w:val="24"/>
                <w:szCs w:val="24"/>
              </w:rPr>
              <w:t>, 77А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>ИНН 3912008387, КПП 391201001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FC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B7FCD">
              <w:rPr>
                <w:rFonts w:ascii="Times New Roman" w:hAnsi="Times New Roman"/>
                <w:sz w:val="24"/>
                <w:szCs w:val="24"/>
              </w:rPr>
              <w:t xml:space="preserve">/с 03353027720 МКУ «Отдел ЖКХ Светлогорского городского округа» 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 xml:space="preserve">в  УФК по Калининградской обл.   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7FC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B7FCD">
              <w:rPr>
                <w:rFonts w:ascii="Times New Roman" w:hAnsi="Times New Roman"/>
                <w:sz w:val="24"/>
                <w:szCs w:val="24"/>
              </w:rPr>
              <w:t xml:space="preserve">/с   40204810240300004019                                   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 xml:space="preserve">Отделение Калининград </w:t>
            </w:r>
            <w:proofErr w:type="gramStart"/>
            <w:r w:rsidRPr="003B7F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B7FCD">
              <w:rPr>
                <w:rFonts w:ascii="Times New Roman" w:hAnsi="Times New Roman"/>
                <w:sz w:val="24"/>
                <w:szCs w:val="24"/>
              </w:rPr>
              <w:t>. Калининград</w:t>
            </w:r>
          </w:p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 xml:space="preserve"> БИК 042748001</w:t>
            </w:r>
          </w:p>
        </w:tc>
        <w:tc>
          <w:tcPr>
            <w:tcW w:w="4706" w:type="dxa"/>
          </w:tcPr>
          <w:p w:rsidR="00B066C9" w:rsidRPr="003B7FCD" w:rsidRDefault="00B066C9" w:rsidP="00154386">
            <w:pPr>
              <w:rPr>
                <w:b/>
              </w:rPr>
            </w:pPr>
          </w:p>
        </w:tc>
      </w:tr>
      <w:tr w:rsidR="00B066C9" w:rsidRPr="003B7FCD" w:rsidTr="00B066C9">
        <w:trPr>
          <w:trHeight w:val="285"/>
        </w:trPr>
        <w:tc>
          <w:tcPr>
            <w:tcW w:w="5101" w:type="dxa"/>
          </w:tcPr>
          <w:p w:rsidR="00B066C9" w:rsidRPr="003B7FCD" w:rsidRDefault="00B066C9" w:rsidP="0015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FC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706" w:type="dxa"/>
          </w:tcPr>
          <w:p w:rsidR="00B066C9" w:rsidRPr="003B7FCD" w:rsidRDefault="00B066C9" w:rsidP="00154386">
            <w:pPr>
              <w:rPr>
                <w:b/>
              </w:rPr>
            </w:pPr>
          </w:p>
        </w:tc>
      </w:tr>
    </w:tbl>
    <w:p w:rsidR="00B066C9" w:rsidRDefault="00B066C9" w:rsidP="00B0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6C9" w:rsidRDefault="00B066C9" w:rsidP="00B066C9">
      <w:pPr>
        <w:pStyle w:val="ConsPlusNormal"/>
        <w:jc w:val="both"/>
        <w:sectPr w:rsidR="00B066C9" w:rsidSect="00B50725">
          <w:pgSz w:w="11906" w:h="16838"/>
          <w:pgMar w:top="1077" w:right="567" w:bottom="1077" w:left="1134" w:header="0" w:footer="0" w:gutter="0"/>
          <w:cols w:space="720"/>
          <w:noEndnote/>
        </w:sectPr>
      </w:pPr>
    </w:p>
    <w:tbl>
      <w:tblPr>
        <w:tblW w:w="14788" w:type="dxa"/>
        <w:tblInd w:w="250" w:type="dxa"/>
        <w:tblLayout w:type="fixed"/>
        <w:tblLook w:val="0000"/>
      </w:tblPr>
      <w:tblGrid>
        <w:gridCol w:w="7394"/>
        <w:gridCol w:w="7394"/>
      </w:tblGrid>
      <w:tr w:rsidR="00B066C9" w:rsidRPr="00501397" w:rsidTr="00154386">
        <w:trPr>
          <w:trHeight w:val="1704"/>
        </w:trPr>
        <w:tc>
          <w:tcPr>
            <w:tcW w:w="7394" w:type="dxa"/>
          </w:tcPr>
          <w:p w:rsidR="00B066C9" w:rsidRPr="00501397" w:rsidRDefault="00B066C9" w:rsidP="00B066C9">
            <w:pPr>
              <w:widowControl w:val="0"/>
              <w:rPr>
                <w:bCs/>
                <w:color w:val="000000"/>
                <w:lang w:eastAsia="ar-SA"/>
              </w:rPr>
            </w:pPr>
          </w:p>
        </w:tc>
        <w:tc>
          <w:tcPr>
            <w:tcW w:w="7394" w:type="dxa"/>
            <w:shd w:val="clear" w:color="auto" w:fill="auto"/>
          </w:tcPr>
          <w:p w:rsidR="00B066C9" w:rsidRDefault="00B066C9" w:rsidP="00154386">
            <w:pPr>
              <w:widowControl w:val="0"/>
              <w:tabs>
                <w:tab w:val="left" w:pos="2951"/>
              </w:tabs>
              <w:jc w:val="righ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ab/>
              <w:t xml:space="preserve">Приложение № 2 </w:t>
            </w:r>
          </w:p>
          <w:p w:rsidR="00B066C9" w:rsidRPr="00501397" w:rsidRDefault="00B066C9" w:rsidP="00154386">
            <w:pPr>
              <w:widowControl w:val="0"/>
              <w:tabs>
                <w:tab w:val="left" w:pos="2951"/>
              </w:tabs>
              <w:jc w:val="righ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к  Порядку аккумулирования средств заинтересованных лиц, направляемых на выполнение минимального и дополнительного перечня работ по благоустройству дворовых территории, и механизм </w:t>
            </w:r>
            <w:proofErr w:type="gramStart"/>
            <w:r>
              <w:rPr>
                <w:bCs/>
                <w:color w:val="000000"/>
                <w:lang w:eastAsia="ar-SA"/>
              </w:rPr>
              <w:t>контроля за</w:t>
            </w:r>
            <w:proofErr w:type="gramEnd"/>
            <w:r>
              <w:rPr>
                <w:bCs/>
                <w:color w:val="000000"/>
                <w:lang w:eastAsia="ar-SA"/>
              </w:rPr>
              <w:t xml:space="preserve"> их расходованием </w:t>
            </w:r>
          </w:p>
        </w:tc>
      </w:tr>
    </w:tbl>
    <w:p w:rsidR="00B066C9" w:rsidRDefault="00B066C9" w:rsidP="00B066C9">
      <w:pPr>
        <w:pStyle w:val="ConsPlusNormal"/>
        <w:jc w:val="both"/>
      </w:pPr>
    </w:p>
    <w:p w:rsidR="00B066C9" w:rsidRDefault="00B066C9" w:rsidP="00B066C9">
      <w:pPr>
        <w:pStyle w:val="ConsPlusNormal"/>
        <w:jc w:val="both"/>
      </w:pPr>
    </w:p>
    <w:p w:rsidR="00B066C9" w:rsidRPr="000F5E12" w:rsidRDefault="00B066C9" w:rsidP="00B066C9">
      <w:pPr>
        <w:widowControl w:val="0"/>
        <w:autoSpaceDE w:val="0"/>
        <w:autoSpaceDN w:val="0"/>
        <w:jc w:val="center"/>
      </w:pPr>
      <w:r w:rsidRPr="000F5E12">
        <w:t>ЕЖЕ</w:t>
      </w:r>
      <w:r w:rsidRPr="001B2859">
        <w:t>НЕДЕЛЬ</w:t>
      </w:r>
      <w:r w:rsidRPr="000F5E12">
        <w:t>НЫЙ ОТЧЕТ</w:t>
      </w:r>
    </w:p>
    <w:p w:rsidR="00B066C9" w:rsidRDefault="00B066C9" w:rsidP="00B066C9">
      <w:pPr>
        <w:widowControl w:val="0"/>
        <w:autoSpaceDE w:val="0"/>
        <w:autoSpaceDN w:val="0"/>
        <w:jc w:val="center"/>
      </w:pPr>
      <w:r w:rsidRPr="001B2859">
        <w:t>о</w:t>
      </w:r>
      <w:r w:rsidRPr="000F5E12">
        <w:t xml:space="preserve"> </w:t>
      </w:r>
      <w:r w:rsidRPr="001B2859">
        <w:t xml:space="preserve">поступлении денежных средств собственников </w:t>
      </w:r>
      <w:r>
        <w:t xml:space="preserve">помещений </w:t>
      </w:r>
      <w:r w:rsidRPr="000F5E12">
        <w:t>многоквартирн</w:t>
      </w:r>
      <w:r w:rsidRPr="001B2859">
        <w:t>ых</w:t>
      </w:r>
      <w:r w:rsidRPr="000F5E12">
        <w:t xml:space="preserve"> дом</w:t>
      </w:r>
      <w:r w:rsidRPr="001B2859">
        <w:t>ов</w:t>
      </w:r>
      <w:r w:rsidRPr="000F5E12">
        <w:t xml:space="preserve">, </w:t>
      </w:r>
    </w:p>
    <w:p w:rsidR="00B066C9" w:rsidRPr="000F5E12" w:rsidRDefault="00B066C9" w:rsidP="00B066C9">
      <w:pPr>
        <w:widowControl w:val="0"/>
        <w:autoSpaceDE w:val="0"/>
        <w:autoSpaceDN w:val="0"/>
        <w:jc w:val="center"/>
      </w:pPr>
      <w:r w:rsidRPr="001B2859">
        <w:t xml:space="preserve">дворовые </w:t>
      </w:r>
      <w:proofErr w:type="gramStart"/>
      <w:r w:rsidRPr="001B2859">
        <w:t>территории</w:t>
      </w:r>
      <w:proofErr w:type="gramEnd"/>
      <w:r w:rsidRPr="001B2859">
        <w:t xml:space="preserve"> которых подлежат благоустройству в 20</w:t>
      </w:r>
      <w:r>
        <w:t>__</w:t>
      </w:r>
      <w:r w:rsidRPr="001B2859">
        <w:t xml:space="preserve"> году</w:t>
      </w:r>
    </w:p>
    <w:p w:rsidR="00B066C9" w:rsidRPr="000F5E12" w:rsidRDefault="00B066C9" w:rsidP="00B066C9">
      <w:pPr>
        <w:widowControl w:val="0"/>
        <w:autoSpaceDE w:val="0"/>
        <w:autoSpaceDN w:val="0"/>
        <w:jc w:val="center"/>
      </w:pPr>
      <w:r w:rsidRPr="000F5E12">
        <w:t xml:space="preserve">по </w:t>
      </w:r>
      <w:r w:rsidRPr="001B2859">
        <w:t>состоянию на</w:t>
      </w:r>
      <w:r w:rsidRPr="000F5E12">
        <w:t xml:space="preserve"> </w:t>
      </w:r>
      <w:r w:rsidRPr="001B2859">
        <w:t>«_____» _____________________ 20</w:t>
      </w:r>
      <w:r>
        <w:t>__</w:t>
      </w:r>
      <w:r w:rsidRPr="001B2859">
        <w:t>года</w:t>
      </w:r>
    </w:p>
    <w:p w:rsidR="00B066C9" w:rsidRPr="000F5E12" w:rsidRDefault="00B066C9" w:rsidP="00B066C9">
      <w:pPr>
        <w:widowControl w:val="0"/>
        <w:autoSpaceDE w:val="0"/>
        <w:autoSpaceDN w:val="0"/>
        <w:ind w:firstLine="540"/>
        <w:jc w:val="both"/>
      </w:pPr>
    </w:p>
    <w:tbl>
      <w:tblPr>
        <w:tblW w:w="15514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1923"/>
        <w:gridCol w:w="1985"/>
        <w:gridCol w:w="2126"/>
        <w:gridCol w:w="1559"/>
        <w:gridCol w:w="1559"/>
        <w:gridCol w:w="1701"/>
        <w:gridCol w:w="1559"/>
        <w:gridCol w:w="1560"/>
        <w:gridCol w:w="992"/>
      </w:tblGrid>
      <w:tr w:rsidR="00B066C9" w:rsidRPr="00D95302" w:rsidTr="00154386">
        <w:trPr>
          <w:trHeight w:val="1372"/>
        </w:trPr>
        <w:tc>
          <w:tcPr>
            <w:tcW w:w="55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 xml:space="preserve">N </w:t>
            </w:r>
            <w:proofErr w:type="spellStart"/>
            <w:proofErr w:type="gramStart"/>
            <w:r w:rsidRPr="00D95302">
              <w:t>п</w:t>
            </w:r>
            <w:proofErr w:type="spellEnd"/>
            <w:proofErr w:type="gramEnd"/>
            <w:r w:rsidRPr="00D95302">
              <w:t>/</w:t>
            </w:r>
            <w:proofErr w:type="spellStart"/>
            <w:r w:rsidRPr="00D95302">
              <w:t>п</w:t>
            </w:r>
            <w:proofErr w:type="spellEnd"/>
          </w:p>
        </w:tc>
        <w:tc>
          <w:tcPr>
            <w:tcW w:w="1923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 xml:space="preserve">Перечень многоквартирных домов, участвующих в программе </w:t>
            </w:r>
          </w:p>
        </w:tc>
        <w:tc>
          <w:tcPr>
            <w:tcW w:w="1985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 xml:space="preserve">Перечень дворовых территорий </w:t>
            </w:r>
          </w:p>
        </w:tc>
        <w:tc>
          <w:tcPr>
            <w:tcW w:w="2126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Перечень работ по благоустройству дворовых территорий</w:t>
            </w: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Общая стоимость</w:t>
            </w:r>
          </w:p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работ,</w:t>
            </w:r>
          </w:p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 xml:space="preserve"> тыс. руб.</w:t>
            </w: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 xml:space="preserve">Дата и № соглашения </w:t>
            </w:r>
          </w:p>
        </w:tc>
        <w:tc>
          <w:tcPr>
            <w:tcW w:w="1701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>
              <w:t>Д</w:t>
            </w:r>
            <w:r w:rsidRPr="00D95302">
              <w:t xml:space="preserve">оля собственников </w:t>
            </w:r>
          </w:p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тыс. руб.</w:t>
            </w: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Фактическое поступление доли собственников</w:t>
            </w:r>
          </w:p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тыс. руб.</w:t>
            </w:r>
          </w:p>
        </w:tc>
        <w:tc>
          <w:tcPr>
            <w:tcW w:w="156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>
              <w:t>Д</w:t>
            </w:r>
            <w:r w:rsidRPr="00D95302">
              <w:t>ата поступления средств собственников</w:t>
            </w:r>
          </w:p>
        </w:tc>
        <w:tc>
          <w:tcPr>
            <w:tcW w:w="992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</w:pPr>
            <w:r w:rsidRPr="00D95302">
              <w:t>% поступления</w:t>
            </w:r>
          </w:p>
        </w:tc>
      </w:tr>
      <w:tr w:rsidR="00B066C9" w:rsidRPr="00D95302" w:rsidTr="00154386">
        <w:tc>
          <w:tcPr>
            <w:tcW w:w="55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 w:rsidRPr="00D95302">
              <w:t>1</w:t>
            </w:r>
          </w:p>
        </w:tc>
        <w:tc>
          <w:tcPr>
            <w:tcW w:w="1923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 w:rsidRPr="00D95302">
              <w:t>2</w:t>
            </w:r>
          </w:p>
        </w:tc>
        <w:tc>
          <w:tcPr>
            <w:tcW w:w="1985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 w:rsidRPr="00D95302">
              <w:t>3</w:t>
            </w:r>
          </w:p>
        </w:tc>
        <w:tc>
          <w:tcPr>
            <w:tcW w:w="2126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 w:rsidRPr="00D95302">
              <w:t>4</w:t>
            </w: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 w:rsidRPr="00D95302">
              <w:t>5</w:t>
            </w: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 w:rsidRPr="00D95302">
              <w:t>6</w:t>
            </w:r>
          </w:p>
        </w:tc>
        <w:tc>
          <w:tcPr>
            <w:tcW w:w="1701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B066C9" w:rsidRPr="00D95302" w:rsidTr="00154386">
        <w:tc>
          <w:tcPr>
            <w:tcW w:w="55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23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</w:tr>
      <w:tr w:rsidR="00B066C9" w:rsidRPr="00D95302" w:rsidTr="00154386">
        <w:tc>
          <w:tcPr>
            <w:tcW w:w="55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23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B066C9" w:rsidRPr="00D95302" w:rsidRDefault="00B066C9" w:rsidP="0015438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B066C9" w:rsidRPr="000F5E12" w:rsidRDefault="00B066C9" w:rsidP="00B066C9">
      <w:pPr>
        <w:widowControl w:val="0"/>
        <w:autoSpaceDE w:val="0"/>
        <w:autoSpaceDN w:val="0"/>
        <w:ind w:firstLine="540"/>
        <w:jc w:val="both"/>
      </w:pPr>
    </w:p>
    <w:p w:rsidR="00B066C9" w:rsidRPr="000F5E12" w:rsidRDefault="00B066C9" w:rsidP="00B066C9">
      <w:pPr>
        <w:widowControl w:val="0"/>
        <w:autoSpaceDE w:val="0"/>
        <w:autoSpaceDN w:val="0"/>
        <w:jc w:val="both"/>
      </w:pPr>
      <w:r w:rsidRPr="000F5E12">
        <w:t>Правильность представленных сведений подтверждаю.</w:t>
      </w:r>
    </w:p>
    <w:p w:rsidR="00B066C9" w:rsidRDefault="00B066C9" w:rsidP="00B066C9">
      <w:pPr>
        <w:widowControl w:val="0"/>
        <w:autoSpaceDE w:val="0"/>
        <w:autoSpaceDN w:val="0"/>
        <w:jc w:val="both"/>
      </w:pPr>
      <w:r>
        <w:t xml:space="preserve">Руководитель         </w:t>
      </w:r>
      <w:r w:rsidRPr="001B2859">
        <w:tab/>
        <w:t>________________      ______________________</w:t>
      </w:r>
      <w:r w:rsidRPr="000F5E12">
        <w:t xml:space="preserve">                    </w:t>
      </w:r>
      <w:r w:rsidRPr="001B2859">
        <w:t xml:space="preserve">     </w:t>
      </w:r>
      <w:r>
        <w:t xml:space="preserve">                  </w:t>
      </w:r>
    </w:p>
    <w:p w:rsidR="00B066C9" w:rsidRDefault="00B066C9" w:rsidP="00B066C9">
      <w:pPr>
        <w:widowControl w:val="0"/>
        <w:autoSpaceDE w:val="0"/>
        <w:autoSpaceDN w:val="0"/>
        <w:jc w:val="both"/>
      </w:pPr>
      <w:r>
        <w:t xml:space="preserve">  П</w:t>
      </w:r>
      <w:r w:rsidRPr="000F5E12">
        <w:t xml:space="preserve">одпись  </w:t>
      </w:r>
      <w:r w:rsidRPr="001B2859">
        <w:t xml:space="preserve">   </w:t>
      </w:r>
      <w:r w:rsidRPr="000F5E12">
        <w:t xml:space="preserve">            </w:t>
      </w:r>
      <w:r>
        <w:t xml:space="preserve">         </w:t>
      </w:r>
      <w:r w:rsidRPr="000F5E12">
        <w:t xml:space="preserve">  Ф.И.</w:t>
      </w:r>
      <w:r>
        <w:t>О.</w:t>
      </w:r>
    </w:p>
    <w:p w:rsidR="00D940BC" w:rsidRDefault="00D940BC" w:rsidP="00167623"/>
    <w:sectPr w:rsidR="00D940BC" w:rsidSect="00B066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D9D"/>
    <w:multiLevelType w:val="hybridMultilevel"/>
    <w:tmpl w:val="38E05A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218"/>
    <w:multiLevelType w:val="multilevel"/>
    <w:tmpl w:val="BB9CCD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8954FC"/>
    <w:multiLevelType w:val="hybridMultilevel"/>
    <w:tmpl w:val="AE4C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0AA"/>
    <w:multiLevelType w:val="multilevel"/>
    <w:tmpl w:val="6BEE0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622575DA"/>
    <w:multiLevelType w:val="hybridMultilevel"/>
    <w:tmpl w:val="38E8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71F"/>
    <w:multiLevelType w:val="multilevel"/>
    <w:tmpl w:val="D38A1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167623"/>
    <w:rsid w:val="001E1610"/>
    <w:rsid w:val="002208AE"/>
    <w:rsid w:val="002337BE"/>
    <w:rsid w:val="0028603D"/>
    <w:rsid w:val="00327AAA"/>
    <w:rsid w:val="003D2302"/>
    <w:rsid w:val="004B554E"/>
    <w:rsid w:val="004B70F2"/>
    <w:rsid w:val="004F6D7A"/>
    <w:rsid w:val="00572841"/>
    <w:rsid w:val="006624D1"/>
    <w:rsid w:val="007E04D0"/>
    <w:rsid w:val="00840221"/>
    <w:rsid w:val="008844E9"/>
    <w:rsid w:val="008C4777"/>
    <w:rsid w:val="00984728"/>
    <w:rsid w:val="009C72E2"/>
    <w:rsid w:val="009E0AD4"/>
    <w:rsid w:val="00A2038B"/>
    <w:rsid w:val="00A738FB"/>
    <w:rsid w:val="00B00BBD"/>
    <w:rsid w:val="00B066C9"/>
    <w:rsid w:val="00C73B42"/>
    <w:rsid w:val="00C75D1F"/>
    <w:rsid w:val="00D520A7"/>
    <w:rsid w:val="00D940BC"/>
    <w:rsid w:val="00DD5BC2"/>
    <w:rsid w:val="00F6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327AAA"/>
    <w:pPr>
      <w:ind w:left="720"/>
      <w:contextualSpacing/>
    </w:pPr>
  </w:style>
  <w:style w:type="paragraph" w:customStyle="1" w:styleId="ConsPlusNormal">
    <w:name w:val="ConsPlusNormal"/>
    <w:rsid w:val="00B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B0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66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66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Чирва</cp:lastModifiedBy>
  <cp:revision>5</cp:revision>
  <cp:lastPrinted>2019-06-18T12:04:00Z</cp:lastPrinted>
  <dcterms:created xsi:type="dcterms:W3CDTF">2019-06-18T10:36:00Z</dcterms:created>
  <dcterms:modified xsi:type="dcterms:W3CDTF">2019-07-04T10:31:00Z</dcterms:modified>
</cp:coreProperties>
</file>