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4F0DD3E0" w:rsidR="00A12A7A" w:rsidRPr="005F3079" w:rsidRDefault="005552D2" w:rsidP="005F3079">
      <w:pPr>
        <w:jc w:val="center"/>
        <w:rPr>
          <w:b/>
          <w:bCs/>
        </w:rPr>
      </w:pPr>
      <w:r>
        <w:t xml:space="preserve">«Светлогорский городской округ» </w:t>
      </w:r>
      <w:r w:rsidR="00D56CD7">
        <w:t xml:space="preserve"> </w:t>
      </w:r>
      <w:r w:rsidR="00597B07" w:rsidRPr="00597B07">
        <w:rPr>
          <w:b/>
          <w:bCs/>
        </w:rPr>
        <w:t>«</w:t>
      </w:r>
      <w:r w:rsidR="00597B07" w:rsidRPr="00597B07">
        <w:rPr>
          <w:b/>
          <w:bCs/>
        </w:rPr>
        <w:t>Об установлении базовой ставки платы за установку и эксплуатацию 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1EB45ED" w:rsidR="005505F8" w:rsidRPr="005F3079" w:rsidRDefault="00867E3A" w:rsidP="00597B07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 xml:space="preserve">проекта постановления администрации муниципального образования «Светлогорский городской округ» </w:t>
      </w:r>
      <w:r w:rsidR="00597B07">
        <w:t>«</w:t>
      </w:r>
      <w:r w:rsidR="00597B07" w:rsidRPr="00597B07">
        <w:rPr>
          <w:b/>
          <w:bCs/>
        </w:rPr>
        <w:t xml:space="preserve">Об установлении базовой ставки платы за установку и эксплуатацию </w:t>
      </w:r>
      <w:r w:rsidR="00597B07" w:rsidRPr="00597B07">
        <w:rPr>
          <w:b/>
          <w:bCs/>
        </w:rPr>
        <w:lastRenderedPageBreak/>
        <w:t>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  <w:r w:rsidR="00597B07" w:rsidRPr="00597B07">
        <w:rPr>
          <w:b/>
          <w:bCs/>
        </w:rPr>
        <w:t xml:space="preserve"> 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17</cp:revision>
  <cp:lastPrinted>2022-10-03T12:30:00Z</cp:lastPrinted>
  <dcterms:created xsi:type="dcterms:W3CDTF">2022-08-30T15:13:00Z</dcterms:created>
  <dcterms:modified xsi:type="dcterms:W3CDTF">2022-10-03T12:30:00Z</dcterms:modified>
</cp:coreProperties>
</file>