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A0" w:rsidRPr="00FC3F61" w:rsidRDefault="00005AA0" w:rsidP="00005AA0">
      <w:pPr>
        <w:spacing w:after="0" w:line="240" w:lineRule="auto"/>
        <w:outlineLvl w:val="0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005AA0" w:rsidRPr="00FC3F61" w:rsidRDefault="00005AA0" w:rsidP="00005AA0">
      <w:pPr>
        <w:spacing w:after="0" w:line="240" w:lineRule="auto"/>
        <w:outlineLvl w:val="0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05AA0" w:rsidRPr="003C388A" w:rsidRDefault="00005AA0" w:rsidP="00005AA0">
      <w:pPr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b/>
          <w:sz w:val="32"/>
          <w:szCs w:val="32"/>
        </w:rPr>
      </w:pPr>
      <w:r w:rsidRPr="003C388A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:rsidR="00005AA0" w:rsidRDefault="00005AA0" w:rsidP="00005AA0">
      <w:pPr>
        <w:spacing w:after="0" w:line="240" w:lineRule="auto"/>
      </w:pPr>
    </w:p>
    <w:p w:rsidR="00005AA0" w:rsidRPr="00D361DD" w:rsidRDefault="00005AA0" w:rsidP="00005AA0">
      <w:pPr>
        <w:spacing w:after="0" w:line="240" w:lineRule="auto"/>
      </w:pPr>
    </w:p>
    <w:p w:rsidR="00005AA0" w:rsidRPr="00EC6A6E" w:rsidRDefault="00005AA0" w:rsidP="00005AA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6A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05AA0" w:rsidRPr="00EC6A6E" w:rsidRDefault="00005AA0" w:rsidP="00005A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5AA0" w:rsidRPr="00EC6A6E" w:rsidRDefault="00005AA0" w:rsidP="0000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6E">
        <w:rPr>
          <w:rFonts w:ascii="Times New Roman" w:hAnsi="Times New Roman" w:cs="Times New Roman"/>
          <w:sz w:val="28"/>
          <w:szCs w:val="28"/>
        </w:rPr>
        <w:t>«</w:t>
      </w:r>
      <w:r w:rsidR="00E55144">
        <w:rPr>
          <w:rFonts w:ascii="Times New Roman" w:hAnsi="Times New Roman" w:cs="Times New Roman"/>
          <w:sz w:val="28"/>
          <w:szCs w:val="28"/>
        </w:rPr>
        <w:t>12</w:t>
      </w:r>
      <w:r w:rsidRPr="00EC6A6E">
        <w:rPr>
          <w:rFonts w:ascii="Times New Roman" w:hAnsi="Times New Roman" w:cs="Times New Roman"/>
          <w:sz w:val="28"/>
          <w:szCs w:val="28"/>
        </w:rPr>
        <w:t xml:space="preserve">» </w:t>
      </w:r>
      <w:r w:rsidR="00EC6A6E">
        <w:rPr>
          <w:rFonts w:ascii="Times New Roman" w:hAnsi="Times New Roman" w:cs="Times New Roman"/>
          <w:sz w:val="28"/>
          <w:szCs w:val="28"/>
        </w:rPr>
        <w:t>декабря</w:t>
      </w:r>
      <w:r w:rsidRPr="00EC6A6E">
        <w:rPr>
          <w:rFonts w:ascii="Times New Roman" w:hAnsi="Times New Roman" w:cs="Times New Roman"/>
          <w:sz w:val="28"/>
          <w:szCs w:val="28"/>
        </w:rPr>
        <w:t xml:space="preserve"> 2019 года   № </w:t>
      </w:r>
      <w:r w:rsidR="00E55144">
        <w:rPr>
          <w:rFonts w:ascii="Times New Roman" w:hAnsi="Times New Roman" w:cs="Times New Roman"/>
          <w:sz w:val="28"/>
          <w:szCs w:val="28"/>
        </w:rPr>
        <w:t>607</w:t>
      </w:r>
      <w:r w:rsidR="00EC6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A0" w:rsidRPr="00EC6A6E" w:rsidRDefault="00005AA0" w:rsidP="0000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6E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005AA0" w:rsidRDefault="00005AA0" w:rsidP="00005A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5D46" w:rsidRDefault="000D5D46" w:rsidP="000D5D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42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0D5D46" w:rsidRDefault="000D5D46" w:rsidP="000D5D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коррупционных рисков в администрации муниципального образования «Светлогорский городской округ»</w:t>
      </w:r>
    </w:p>
    <w:p w:rsidR="000D5D46" w:rsidRPr="00BD1428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Pr="00BD1428" w:rsidRDefault="000D5D46" w:rsidP="000D5D46">
      <w:pPr>
        <w:pStyle w:val="ConsPlusNormal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>№</w:t>
      </w:r>
      <w:r w:rsidRPr="00BD142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D142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D1428">
        <w:rPr>
          <w:sz w:val="28"/>
          <w:szCs w:val="28"/>
        </w:rPr>
        <w:t>, Рекомендациями по порядку проведения оценки коррупционных рисков в организации, подготовленными Министерством труда Российской Федерации</w:t>
      </w:r>
      <w:r>
        <w:rPr>
          <w:sz w:val="28"/>
          <w:szCs w:val="28"/>
        </w:rPr>
        <w:t>:</w:t>
      </w:r>
    </w:p>
    <w:p w:rsidR="000D5D46" w:rsidRPr="00BD1428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Pr="000D5D46" w:rsidRDefault="000D5D46" w:rsidP="000D5D4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46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Pr="000D5D46">
        <w:rPr>
          <w:rFonts w:ascii="Times New Roman" w:hAnsi="Times New Roman" w:cs="Times New Roman"/>
          <w:b w:val="0"/>
          <w:bCs w:val="0"/>
          <w:sz w:val="28"/>
          <w:szCs w:val="28"/>
        </w:rPr>
        <w:t>об оценке коррупционных рисков в администрации муниципального образования «Светлогорский городской округ»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D46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:rsidR="000D5D46" w:rsidRDefault="000D5D46" w:rsidP="000D5D4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D5D46">
        <w:rPr>
          <w:sz w:val="28"/>
          <w:szCs w:val="28"/>
        </w:rPr>
        <w:t>2. Назначить ответственной за проведение оценки</w:t>
      </w:r>
      <w:r w:rsidRPr="00BD1428">
        <w:rPr>
          <w:sz w:val="28"/>
          <w:szCs w:val="28"/>
        </w:rPr>
        <w:t xml:space="preserve"> коррупционных рисков в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заместителя главы администрации </w:t>
      </w:r>
      <w:proofErr w:type="spellStart"/>
      <w:r>
        <w:rPr>
          <w:sz w:val="28"/>
          <w:szCs w:val="28"/>
        </w:rPr>
        <w:t>Качмар</w:t>
      </w:r>
      <w:proofErr w:type="spellEnd"/>
      <w:r>
        <w:rPr>
          <w:sz w:val="28"/>
          <w:szCs w:val="28"/>
        </w:rPr>
        <w:t xml:space="preserve"> Т.Н.</w:t>
      </w:r>
    </w:p>
    <w:p w:rsidR="000D5D46" w:rsidRDefault="000D5D46" w:rsidP="000D5D4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Pr="00BD1428">
        <w:rPr>
          <w:sz w:val="28"/>
          <w:szCs w:val="28"/>
        </w:rPr>
        <w:t>оставляю за собой.</w:t>
      </w:r>
    </w:p>
    <w:p w:rsidR="000D5D46" w:rsidRPr="00BD1428" w:rsidRDefault="000D5D46" w:rsidP="000D5D4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</w:t>
      </w:r>
      <w:r w:rsidRPr="00BD1428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подписания.</w:t>
      </w:r>
    </w:p>
    <w:p w:rsidR="000D5D46" w:rsidRPr="00BD1428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EC6A6E" w:rsidRDefault="00EC6A6E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Default="000D5D46" w:rsidP="000D5D46">
      <w:pPr>
        <w:pStyle w:val="ConsPlusNormal"/>
        <w:jc w:val="both"/>
        <w:rPr>
          <w:sz w:val="28"/>
          <w:szCs w:val="28"/>
        </w:rPr>
      </w:pPr>
    </w:p>
    <w:p w:rsidR="000D5D46" w:rsidRPr="00A56D9B" w:rsidRDefault="000D5D46" w:rsidP="000D5D46">
      <w:pPr>
        <w:pStyle w:val="ConsPlusNormal"/>
        <w:ind w:left="6521"/>
        <w:outlineLvl w:val="0"/>
        <w:rPr>
          <w:sz w:val="20"/>
          <w:szCs w:val="20"/>
        </w:rPr>
      </w:pPr>
      <w:r w:rsidRPr="00A56D9B">
        <w:rPr>
          <w:sz w:val="20"/>
          <w:szCs w:val="20"/>
        </w:rPr>
        <w:lastRenderedPageBreak/>
        <w:t>Приложение</w:t>
      </w:r>
    </w:p>
    <w:p w:rsidR="000D5D46" w:rsidRPr="00A56D9B" w:rsidRDefault="000D5D46" w:rsidP="000D5D46">
      <w:pPr>
        <w:pStyle w:val="ConsPlusNormal"/>
        <w:ind w:left="6521"/>
        <w:rPr>
          <w:sz w:val="20"/>
          <w:szCs w:val="20"/>
        </w:rPr>
      </w:pPr>
      <w:r w:rsidRPr="00A56D9B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распоряжению </w:t>
      </w:r>
      <w:r w:rsidRPr="00A56D9B">
        <w:rPr>
          <w:sz w:val="20"/>
          <w:szCs w:val="20"/>
        </w:rPr>
        <w:t>администрации</w:t>
      </w:r>
    </w:p>
    <w:p w:rsidR="000D5D46" w:rsidRPr="00A56D9B" w:rsidRDefault="000D5D46" w:rsidP="000D5D46">
      <w:pPr>
        <w:pStyle w:val="ConsPlusNormal"/>
        <w:ind w:left="6521"/>
        <w:rPr>
          <w:sz w:val="20"/>
          <w:szCs w:val="20"/>
        </w:rPr>
      </w:pPr>
      <w:r w:rsidRPr="00A56D9B">
        <w:rPr>
          <w:sz w:val="20"/>
          <w:szCs w:val="20"/>
        </w:rPr>
        <w:t>муниципального образования</w:t>
      </w:r>
    </w:p>
    <w:p w:rsidR="000D5D46" w:rsidRPr="00A56D9B" w:rsidRDefault="000D5D46" w:rsidP="000D5D46">
      <w:pPr>
        <w:pStyle w:val="ConsPlusNormal"/>
        <w:ind w:left="6521"/>
        <w:rPr>
          <w:sz w:val="20"/>
          <w:szCs w:val="20"/>
        </w:rPr>
      </w:pPr>
      <w:r w:rsidRPr="00A56D9B">
        <w:rPr>
          <w:sz w:val="20"/>
          <w:szCs w:val="20"/>
        </w:rPr>
        <w:t>«Светлогорский городской округ»</w:t>
      </w:r>
    </w:p>
    <w:p w:rsidR="000D5D46" w:rsidRPr="00A56D9B" w:rsidRDefault="000D5D46" w:rsidP="000D5D46">
      <w:pPr>
        <w:pStyle w:val="ConsPlusNormal"/>
        <w:ind w:left="6521"/>
        <w:rPr>
          <w:sz w:val="20"/>
          <w:szCs w:val="20"/>
        </w:rPr>
      </w:pPr>
    </w:p>
    <w:p w:rsidR="000D5D46" w:rsidRPr="00A56D9B" w:rsidRDefault="000D5D46" w:rsidP="000D5D46">
      <w:pPr>
        <w:pStyle w:val="ConsPlusNormal"/>
        <w:ind w:left="6521"/>
        <w:rPr>
          <w:sz w:val="20"/>
          <w:szCs w:val="20"/>
        </w:rPr>
      </w:pPr>
      <w:r w:rsidRPr="00A56D9B">
        <w:rPr>
          <w:sz w:val="20"/>
          <w:szCs w:val="20"/>
        </w:rPr>
        <w:t xml:space="preserve">от </w:t>
      </w:r>
      <w:r w:rsidR="00E55144">
        <w:rPr>
          <w:sz w:val="20"/>
          <w:szCs w:val="20"/>
        </w:rPr>
        <w:t xml:space="preserve">12.12.2019 </w:t>
      </w:r>
      <w:r w:rsidRPr="00A56D9B">
        <w:rPr>
          <w:sz w:val="20"/>
          <w:szCs w:val="20"/>
        </w:rPr>
        <w:t xml:space="preserve">№ </w:t>
      </w:r>
      <w:r w:rsidR="00E55144">
        <w:rPr>
          <w:sz w:val="20"/>
          <w:szCs w:val="20"/>
        </w:rPr>
        <w:t>607</w:t>
      </w:r>
      <w:bookmarkStart w:id="0" w:name="_GoBack"/>
      <w:bookmarkEnd w:id="0"/>
    </w:p>
    <w:p w:rsidR="000D5D46" w:rsidRDefault="000D5D46" w:rsidP="000D5D46">
      <w:pPr>
        <w:shd w:val="clear" w:color="auto" w:fill="FFFFFF"/>
        <w:spacing w:after="0" w:line="240" w:lineRule="auto"/>
        <w:ind w:left="7371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5D46" w:rsidRDefault="000D5D46" w:rsidP="000D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0D5D46" w:rsidRDefault="000D5D46" w:rsidP="000D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коррупционных рисков в администрации муниципального образования</w:t>
      </w:r>
      <w:r w:rsidR="000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«Светлогорский городской округ»</w:t>
      </w:r>
    </w:p>
    <w:p w:rsidR="000D5D46" w:rsidRDefault="000D5D46" w:rsidP="000D5D46">
      <w:pPr>
        <w:pStyle w:val="2"/>
        <w:spacing w:after="0"/>
        <w:contextualSpacing/>
        <w:rPr>
          <w:color w:val="auto"/>
        </w:rPr>
      </w:pPr>
    </w:p>
    <w:p w:rsidR="000D5D46" w:rsidRDefault="000D5D46" w:rsidP="000D5D46">
      <w:pPr>
        <w:pStyle w:val="2"/>
        <w:spacing w:after="0"/>
        <w:contextualSpacing/>
        <w:rPr>
          <w:b/>
          <w:color w:val="auto"/>
        </w:rPr>
      </w:pPr>
      <w:r>
        <w:rPr>
          <w:b/>
          <w:color w:val="auto"/>
        </w:rPr>
        <w:t>I. Общие положения</w:t>
      </w:r>
    </w:p>
    <w:p w:rsidR="000D5D46" w:rsidRDefault="000D5D46" w:rsidP="000D5D46">
      <w:pPr>
        <w:pStyle w:val="a3"/>
        <w:spacing w:after="0"/>
        <w:ind w:firstLine="709"/>
        <w:contextualSpacing/>
        <w:rPr>
          <w:color w:val="auto"/>
        </w:rPr>
      </w:pPr>
      <w:r>
        <w:rPr>
          <w:color w:val="auto"/>
        </w:rPr>
        <w:t>1.1. Положение об оценке коррупционных рисков в администрации муниципального образования</w:t>
      </w:r>
      <w:r w:rsidR="00EF3384">
        <w:rPr>
          <w:color w:val="auto"/>
        </w:rPr>
        <w:t xml:space="preserve"> «Светлогорский городской округ»</w:t>
      </w:r>
      <w:r>
        <w:rPr>
          <w:color w:val="auto"/>
        </w:rPr>
        <w:t xml:space="preserve"> (далее – администрация)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 </w:t>
      </w:r>
      <w:r w:rsidR="00EF3384">
        <w:rPr>
          <w:color w:val="auto"/>
        </w:rPr>
        <w:t xml:space="preserve"> </w:t>
      </w:r>
      <w:r>
        <w:rPr>
          <w:color w:val="auto"/>
        </w:rPr>
        <w:t xml:space="preserve">при реализации функций (версия 2.0 2014 года, версия 3.0 2017 года), </w:t>
      </w:r>
      <w:r w:rsidR="00EF3384">
        <w:rPr>
          <w:color w:val="auto"/>
        </w:rPr>
        <w:t xml:space="preserve"> </w:t>
      </w:r>
      <w:r>
        <w:rPr>
          <w:color w:val="auto"/>
        </w:rPr>
        <w:t xml:space="preserve">и устанавливает порядок определения потенциально наиболее </w:t>
      </w:r>
      <w:proofErr w:type="spellStart"/>
      <w:r>
        <w:rPr>
          <w:color w:val="auto"/>
        </w:rPr>
        <w:t>коррупционно</w:t>
      </w:r>
      <w:proofErr w:type="spellEnd"/>
      <w:r>
        <w:rPr>
          <w:color w:val="auto"/>
        </w:rPr>
        <w:t xml:space="preserve"> опасных функций администрации; коррупциогенных должностей администрации; потенциальных коррупционных возможностей лиц, замещающих должности муниципальной службы в администрации (далее – муниципальных служащих) при выполнении </w:t>
      </w:r>
      <w:proofErr w:type="spellStart"/>
      <w:r>
        <w:rPr>
          <w:color w:val="auto"/>
        </w:rPr>
        <w:t>коррупционно</w:t>
      </w:r>
      <w:proofErr w:type="spellEnd"/>
      <w:r>
        <w:rPr>
          <w:color w:val="auto"/>
        </w:rPr>
        <w:t xml:space="preserve"> опасных функций; мер по минимизации (устранению) коррупционных рисков.</w:t>
      </w:r>
    </w:p>
    <w:p w:rsidR="000D5D46" w:rsidRDefault="000D5D46" w:rsidP="000D5D46">
      <w:pPr>
        <w:pStyle w:val="a5"/>
        <w:spacing w:after="0"/>
        <w:contextualSpacing/>
        <w:rPr>
          <w:color w:val="auto"/>
        </w:rPr>
      </w:pPr>
      <w:r>
        <w:rPr>
          <w:color w:val="auto"/>
        </w:rPr>
        <w:t>1.2. В целях реализации настоящего Положения используются следующие основные понятия: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карта коррупционных рисков – документ, устанавливающий: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потенциально наиболее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функции администрации;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коррупциогенных должностей администрации;</w:t>
      </w:r>
    </w:p>
    <w:p w:rsidR="000D5D46" w:rsidRDefault="000D5D46" w:rsidP="000D5D46">
      <w:pPr>
        <w:pStyle w:val="23"/>
        <w:rPr>
          <w:color w:val="auto"/>
        </w:rPr>
      </w:pPr>
      <w:r>
        <w:rPr>
          <w:color w:val="auto"/>
        </w:rPr>
        <w:t xml:space="preserve">в) потенциальные коррупционные возможности муниципальных служащих при выполнении </w:t>
      </w:r>
      <w:proofErr w:type="spellStart"/>
      <w:r>
        <w:rPr>
          <w:color w:val="auto"/>
        </w:rPr>
        <w:t>коррупционно</w:t>
      </w:r>
      <w:proofErr w:type="spellEnd"/>
      <w:r>
        <w:rPr>
          <w:color w:val="auto"/>
        </w:rPr>
        <w:t xml:space="preserve"> опасных функций;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меры по минимизации (устранению) коррупционных рисков;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коррупционные риски –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коррупциогенные факторы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</w:t>
      </w:r>
      <w:r w:rsidR="00E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гражданам и организациям и тем самым создающие условия для проявления коррупции;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Оценка коррупционных рисков в целях подготовки карты коррупционных рисков проводится в соответствии со следующими основными принципами.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Полнота. Коррупционные риски могут возникать при реализации любой административной процедуры (действия). В связи с этим необходимо учитывать, что применение подхода, при котором из общего числа процедур (действий) в администрации заранее выделяется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функций, имеет существенные недостатки.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полноты позволяет значительно сократить вероятность того, что отдельные административные процедуры (действия), при реализации которых возможно возникновение коррупционного риска, будут проигнорированы, поскольку изначально они не признаны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распределение ресурсов. Оценку коррупционных рисков следует проводить, учитывая возможности кадровых, финансовых и иных ресурсов органа (организации) для ее реализации.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Всесторонность определения коррупционных рисков. Определение состава потенциальных коррупционных правонарушений и анализ вероятных способов их совершения (коррупционных схем) позволяет разработать наиболее эффективные меры предупреждения коррупции в органе (организации).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результатов оценки коррупционных рисков с проводимыми антикоррупционными мероприятиями. Результаты оценки коррупционных рисков являются основой для определения перечня должностей, замещение которых связано с коррупционными рисками.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и регулярность оценки коррупционных рисков. Проводить оценку коррупционных рисков целесообразно на системной основе. Углубленную оценку коррупционных рисков рекомендуется проводить раз в 2-3 года и (или) при любом существенном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в год целесообразно проводить текущую оценку коррупционных рисков, предполагающую 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Законность. Оценка коррупционных рисков основывается на принципе законности на всех этапах оценки.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Гласность. Администрация размещает информацию о результатах оценки коррупционных рисков на своем официальном сайте в информационно-телекоммуникационной сети «Интернет» в разделе «Противодействие коррупции» с учетом требований законодательства Российской Федерации.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заинтересованных сторон. Процесс оценки коррупционных рисков предполагает участие и учет мнения всех заинтересованных сторон (институты гражданского общества, эксперты и др.).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46" w:rsidRDefault="000D5D46" w:rsidP="000D5D46">
      <w:pPr>
        <w:pStyle w:val="2"/>
        <w:spacing w:after="0"/>
        <w:contextualSpacing/>
        <w:rPr>
          <w:b/>
          <w:color w:val="auto"/>
        </w:rPr>
      </w:pPr>
      <w:r>
        <w:rPr>
          <w:b/>
          <w:color w:val="auto"/>
        </w:rPr>
        <w:t>II. Порядок и этапы оценки коррупционных рисков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Принятие решения о проведении оценки коррупционных рисков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Решение о проведении оценки коррупционных рисков принимается главой администрации в форме распоряжения, в котором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 состав рабочей группы по проведению оценки коррупционных рисков включаются представители профильных структурных подразделений администрации, </w:t>
      </w:r>
      <w:r w:rsidR="00093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отдела, члены комиссии по соблюдению требований к служебному поведению и урегулированию конфликта интересов, а также, по согласованию, представители территориальных органов федеральных органов исполнительной власти.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Заседание рабочей группы проводится не реже одного раза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полгода,</w:t>
      </w:r>
      <w:r w:rsidR="00E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мере необходимости. Целью таких заседаний является выявление необходимости проведения оценки коррупционных рисков, внесение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коррупционных рисков, оценка эффективности реализуемых мер по минимизации выявленных коррупционных рисков и иные вопросы по компетенции рабочей группы. Результаты работы рабочей группы представляются главе администрации в виде докладов.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Рабочая группа осуществляет следующие функции: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участие в реализации карты коррупционных рисков и мер по их минимизации;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координация деятельности структурных подразделений администрации по устранению причин коррупции и условий им способствующих, выявление проявлений фактов коррупции;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внесение предложений, направленных на реализацию мероприятий по устранению причин и условий, способствующих совершению коррупционных правонарушений;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выработка рекомендаций для практического использования по предотвращению и профилактике коррупционных правонарушений;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 на предупреждение фактов коррупции и выявление коррупционных рисков;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планирование деятельности администрации по реализации мер по противодействию коррупции;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внесение предложений по совершенствованию деятельности в сфере 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в разработке форм и методов осуществления антикоррупционной деятельности и контроля их реализации.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перечня функций администрации, при реализации которых, наиболее вероятно возникновение коррупции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Определение перечня функций администрации, при реализации которых наиболее вероятно возникновение коррупции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самоуправления муниципального района, закрепленных в федеральном законодательстве, законодательстве Калининградской области, по контролю за исполнением органами местного самоуправления, их должностными лицами, юридическими лицами и гражданами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казенным предприятиям и учреждениям.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ценам, по запросам заявителей в пределах</w:t>
      </w:r>
      <w:r w:rsidR="00077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нормативными правовыми актами Российской Федерации и нормативными правовыми актами Калининградской области, муниципальными правовыми актами полномочий.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Определение перечня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Калининградской области, Уставом муниципального образования, Положением об администрации муниципального образования, положениями о структурных подразделениях администрации, иными муниципальными правовыми актами.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Информация о том, что при реализации той или иной функции возникают коррупционные риски (т.е. функция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внутренним источникам информации относятся следующие: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внутренние источники, к которым можно отнести протоколы заседания комиссии по соблюдению требований к служебному поведению 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внешним источникам информации относятся следующие: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социологические исследования, проводимые администрацией или сторонними исследовательскими организациями;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статистические данные о правонарушениях в сфере деятельности администрации и(или) ее должностных лиц;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обращения граждан и организаций, содержащие информацию о коррупционных правонарушениях, в том числе обращения, поступившие на «горячую линию», «электронную приемную» и т.д.;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материалы, представленные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 Общественной палатой муниципального образования и из других источников.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По итогам реализации вышеизложенных мероприятий администрацией формируется и утверждается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Основаниями для внесения изменений (дополнений) в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Оценка и классификация коррупционных рисков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В целях рационального расходования ресурсов возможно выделение отдельных наиболее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коррупционноемких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 (действий),</w:t>
      </w:r>
      <w:r w:rsidR="000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реализации коррупционного риска определяется, в первую очередь, характеристикой и количеством коррупциогенных факторов, т.е. обстоятельств, увеличивающих вероятность совершения коррупционных правонарушений.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вероятности возникновения риск может быть: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незначительной вероятности возникновения (низкая вероятность) – риск может возникнуть в чрезвычайных обстоятельствах или маловероятен;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средней вероятности возникновения (средняя вероятность) – риск может возникнуть при определенном стечении обстоятельств;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повышенной вероятности возникновения (высокая вероятность) – риск ожидаем при нормальном развитии событий.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вред жизни и здоровью граждан;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вред национальной безопасности и обороноспособности государства;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вред окружающей среде;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материальный ущерб;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репутационный ущерб администрации, резонансные судебные разбирательства, многочисленные жалобы и претензии со стороны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В зависимости от эффекта риски могут быть следующими: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незначительный – риск незначительно влияет на охраняемые законом ценности;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– риск, который, если не будет пресечен, может значительно повлиять на охраняемые законом ценности;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значительный –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коррупционного риска может повлечь вред жизни и здоровью граждан, нанести ущерб национальной безопасности и обороноспособности государства и (или) окружающей среде, такой потенциальный вред следует оценивать как значительный.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своей значимости разделяются на критические, существенные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незначительные.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оценки значимости коррупционных рисков</w:t>
      </w:r>
    </w:p>
    <w:tbl>
      <w:tblPr>
        <w:tblStyle w:val="a7"/>
        <w:tblW w:w="1021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87"/>
        <w:gridCol w:w="2254"/>
        <w:gridCol w:w="1828"/>
        <w:gridCol w:w="1907"/>
        <w:gridCol w:w="2143"/>
      </w:tblGrid>
      <w:tr w:rsidR="000D5D46" w:rsidTr="000771EC">
        <w:trPr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реализации коррупционного риска</w:t>
            </w:r>
          </w:p>
        </w:tc>
      </w:tr>
      <w:tr w:rsidR="000D5D46" w:rsidTr="000771EC">
        <w:trPr>
          <w:trHeight w:val="252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Потенциальный вред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0D5D46" w:rsidTr="000771EC">
        <w:trPr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6" w:rsidRDefault="000D5D46" w:rsidP="0007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риск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риск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риск</w:t>
            </w:r>
          </w:p>
        </w:tc>
      </w:tr>
      <w:tr w:rsidR="000D5D46" w:rsidTr="000771EC">
        <w:trPr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6" w:rsidRDefault="000D5D46" w:rsidP="0007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риск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риск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46" w:rsidRDefault="000D5D46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риск</w:t>
            </w:r>
          </w:p>
        </w:tc>
      </w:tr>
      <w:tr w:rsidR="000771EC" w:rsidTr="000771EC">
        <w:trPr>
          <w:trHeight w:val="193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EC" w:rsidRDefault="000771EC" w:rsidP="0007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1EC" w:rsidRDefault="000771EC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1EC" w:rsidRDefault="000771EC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риск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1EC" w:rsidRDefault="000771EC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риск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1EC" w:rsidRDefault="000771EC" w:rsidP="000771EC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риск</w:t>
            </w:r>
          </w:p>
        </w:tc>
      </w:tr>
    </w:tbl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Формирование перечня должностей муниципальной службы в администрации, замещение которых связано с коррупционными рисками</w:t>
      </w:r>
    </w:p>
    <w:p w:rsidR="000D5D46" w:rsidRDefault="000D5D46" w:rsidP="000D5D46">
      <w:pPr>
        <w:pStyle w:val="a3"/>
        <w:spacing w:after="0"/>
        <w:ind w:firstLine="708"/>
        <w:contextualSpacing/>
        <w:rPr>
          <w:color w:val="auto"/>
        </w:rPr>
      </w:pPr>
      <w:r>
        <w:rPr>
          <w:color w:val="auto"/>
        </w:rPr>
        <w:t>2.4.1.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является предметом коррупции (за какие действия (бездействия) предоставляется выгода);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коррупционные схемы используются.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Должности муниципальной службы, которые являются ключевыми для потенциального совершения коррупционных правонарушений,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Признаками, характеризующими коррупционное поведение должностного лица при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функций, могут служить: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а также сведения о:</w:t>
      </w:r>
    </w:p>
    <w:p w:rsidR="000D5D46" w:rsidRDefault="000D5D46" w:rsidP="000D5D46">
      <w:pPr>
        <w:pStyle w:val="23"/>
        <w:rPr>
          <w:color w:val="auto"/>
        </w:rPr>
      </w:pPr>
      <w:r>
        <w:rPr>
          <w:color w:val="auto"/>
        </w:rPr>
        <w:t>а)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попытках несанкционированного доступа к информационным ресурсам;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действиях распорядительного характера, превышающих или не относящихся к должностным (трудовым) полномочиям;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бездействии в случаях, требующих принятия решений в соответствии со служебными (трудовыми) обязанностями;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совершении частых или крупных сделок с субъектами предпринимательской деятельности, владельцами которых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руководящие должности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замещают родственники должностных лиц;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2.4.5. По итогам реализации вышеизложенных мероприятий администрацией формируется и утверждается перечень должностей, замещение которых связано с коррупционными рисками. К «высокой» степени участия должностных лиц в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относятся лица, в должностные обязанности которых входит: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решающей подписи;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и визирование проектов решений;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непосредственное ведение реестров, баз данных, содержащих «коммерчески» значимую информацию.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муниципальных услуг гражданам и организациям;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управление муниципальным имуществом;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осуществление муниципальных закупок;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выдача заключений, разрешений;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хранение и распределение материально-технических ресурсов.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46" w:rsidRDefault="000D5D46" w:rsidP="000D5D46">
      <w:pPr>
        <w:pStyle w:val="21"/>
        <w:rPr>
          <w:b/>
          <w:color w:val="auto"/>
        </w:rPr>
      </w:pPr>
      <w:r>
        <w:rPr>
          <w:b/>
          <w:color w:val="auto"/>
        </w:rPr>
        <w:t xml:space="preserve">III. Минимизация коррупционных рисков либо их устранение </w:t>
      </w:r>
    </w:p>
    <w:p w:rsidR="000D5D46" w:rsidRDefault="000D5D46" w:rsidP="000D5D46">
      <w:pPr>
        <w:pStyle w:val="21"/>
        <w:rPr>
          <w:b/>
          <w:color w:val="auto"/>
        </w:rPr>
      </w:pPr>
      <w:r>
        <w:rPr>
          <w:b/>
          <w:color w:val="auto"/>
        </w:rPr>
        <w:t xml:space="preserve">в конкретных управленческих процессах реализации </w:t>
      </w:r>
    </w:p>
    <w:p w:rsidR="000D5D46" w:rsidRDefault="000D5D46" w:rsidP="000D5D46">
      <w:pPr>
        <w:pStyle w:val="21"/>
        <w:rPr>
          <w:b/>
          <w:color w:val="auto"/>
        </w:rPr>
      </w:pPr>
      <w:proofErr w:type="spellStart"/>
      <w:r>
        <w:rPr>
          <w:b/>
          <w:color w:val="auto"/>
        </w:rPr>
        <w:t>коррупционно</w:t>
      </w:r>
      <w:proofErr w:type="spellEnd"/>
      <w:r>
        <w:rPr>
          <w:b/>
          <w:color w:val="auto"/>
        </w:rPr>
        <w:t xml:space="preserve"> опасных функций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</w:t>
      </w:r>
    </w:p>
    <w:p w:rsidR="000D5D46" w:rsidRDefault="000D5D46" w:rsidP="000D5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Минимизация коррупционных рисков либо их устранение достигается различными методами, в первую очередь, регламентацией административных процедур исполнения соответствующей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Регламентация административных процедур позволяет снизить степень угрозы возникновения коррупции в связи со следующим: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снижается степень усмотрения должностных лиц при принятии управленческих решений;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обеспечивается единообразное осуществление функций должностными лицами администрации;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создается гласная, открытая модель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опасной функции.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перераспределение функций между структурными подразделениями внутри администрации;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сокращение сроков принятия управленческих решений;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установление четкой регламентации способа и сроков совершения действий должностным лицом при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опасной функции;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установление дополнительных форм отчетности должностных лиц о результатах принятых решений.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проведения разъяснительной и иной работы для существенного снижения возможностей коррупционного поведения муниципальных служащих при исполнении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определении мер по минимизации коррупционных рисков целесообразно руководствоваться следующим: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каждой меры должен быть установлен срок или периодичность ее реализации;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каждой меры должен быть определен ответственный за ее реализацию;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реализация каждой меры должна быть подтверждена документально.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Результаты работы по разработке мер по минимизации выявленных коррупционных рисков представляются главе администрации или уполномоченному им должностному лицу.</w:t>
      </w:r>
    </w:p>
    <w:p w:rsidR="000D5D46" w:rsidRDefault="000D5D46" w:rsidP="000D5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46" w:rsidRDefault="000D5D46" w:rsidP="000D5D46">
      <w:pPr>
        <w:pStyle w:val="21"/>
        <w:rPr>
          <w:b/>
          <w:color w:val="auto"/>
        </w:rPr>
      </w:pPr>
      <w:r>
        <w:rPr>
          <w:b/>
          <w:color w:val="auto"/>
        </w:rPr>
        <w:t xml:space="preserve">IV. Мониторинг исполнения должностных обязанностей </w:t>
      </w:r>
    </w:p>
    <w:p w:rsidR="000D5D46" w:rsidRDefault="000D5D46" w:rsidP="000D5D46">
      <w:pPr>
        <w:pStyle w:val="21"/>
        <w:rPr>
          <w:b/>
          <w:color w:val="auto"/>
        </w:rPr>
      </w:pPr>
      <w:r>
        <w:rPr>
          <w:b/>
          <w:color w:val="auto"/>
        </w:rPr>
        <w:t xml:space="preserve">муниципальными служащими администрации, </w:t>
      </w:r>
    </w:p>
    <w:p w:rsidR="000D5D46" w:rsidRDefault="000D5D46" w:rsidP="000D5D46">
      <w:pPr>
        <w:pStyle w:val="21"/>
        <w:rPr>
          <w:b/>
          <w:color w:val="auto"/>
        </w:rPr>
      </w:pPr>
      <w:r>
        <w:rPr>
          <w:b/>
          <w:color w:val="auto"/>
        </w:rPr>
        <w:t>деятельность которых связана с коррупционными рисками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корректировка перечня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и перечня должностей в администрации, замещение которых связано с коррупционными рисками.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проведении мониторинга: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Результатами проведения мониторинга являются: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и перечень должностей в администрации, замещение которых связано с коррупционными рисками;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ежегодные доклады руководству администрации о результатах проведения мониторинга.</w:t>
      </w:r>
    </w:p>
    <w:p w:rsidR="000D5D46" w:rsidRDefault="000D5D46" w:rsidP="000D5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46" w:rsidRDefault="000D5D46" w:rsidP="000D5D46">
      <w:pPr>
        <w:pStyle w:val="3"/>
        <w:rPr>
          <w:color w:val="auto"/>
        </w:rPr>
      </w:pPr>
      <w:r>
        <w:rPr>
          <w:color w:val="auto"/>
        </w:rPr>
        <w:t>V. Оформление и согласование</w:t>
      </w:r>
    </w:p>
    <w:p w:rsidR="000D5D46" w:rsidRDefault="000D5D46" w:rsidP="000D5D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оценки коррупционных рисков</w:t>
      </w:r>
    </w:p>
    <w:p w:rsidR="000D5D46" w:rsidRDefault="000D5D46" w:rsidP="000D5D46">
      <w:pPr>
        <w:pStyle w:val="23"/>
        <w:rPr>
          <w:color w:val="auto"/>
        </w:rPr>
      </w:pPr>
      <w:r>
        <w:rPr>
          <w:color w:val="auto"/>
        </w:rPr>
        <w:t>5.1.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– карта коррупционных рисков) в соответствии с приложением к настоящему Положению.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0D5D46" w:rsidRDefault="000D5D46" w:rsidP="000D5D4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администрации.</w:t>
      </w:r>
    </w:p>
    <w:p w:rsidR="000D5D46" w:rsidRDefault="000D5D46" w:rsidP="00EC6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и урегулированию конфликта интересов не реже одного раза в год.</w:t>
      </w:r>
    </w:p>
    <w:sectPr w:rsidR="000D5D46" w:rsidSect="00EC6A6E">
      <w:pgSz w:w="12240" w:h="15840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6"/>
    <w:rsid w:val="00005AA0"/>
    <w:rsid w:val="000771EC"/>
    <w:rsid w:val="00093D97"/>
    <w:rsid w:val="000D5D46"/>
    <w:rsid w:val="00416D3E"/>
    <w:rsid w:val="00A15A7F"/>
    <w:rsid w:val="00CE3A30"/>
    <w:rsid w:val="00E55144"/>
    <w:rsid w:val="00EC6A6E"/>
    <w:rsid w:val="00E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AE4A"/>
  <w15:chartTrackingRefBased/>
  <w15:docId w15:val="{9FE34F90-F5D0-43A7-9D19-D14E96E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46"/>
    <w:pPr>
      <w:spacing w:after="200" w:line="360" w:lineRule="auto"/>
      <w:jc w:val="center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46"/>
    <w:pPr>
      <w:keepNext/>
      <w:shd w:val="clear" w:color="auto" w:fill="FFFFFF"/>
      <w:spacing w:after="75" w:line="240" w:lineRule="auto"/>
      <w:outlineLvl w:val="1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5D46"/>
    <w:pPr>
      <w:keepNext/>
      <w:shd w:val="clear" w:color="auto" w:fill="FFFFFF"/>
      <w:spacing w:after="0" w:line="240" w:lineRule="auto"/>
      <w:contextualSpacing/>
      <w:outlineLvl w:val="2"/>
    </w:pPr>
    <w:rPr>
      <w:rFonts w:ascii="Times New Roman" w:eastAsia="Times New Roman" w:hAnsi="Times New Roman" w:cs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5D46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D5D46"/>
    <w:rPr>
      <w:rFonts w:ascii="Times New Roman" w:eastAsia="Times New Roman" w:hAnsi="Times New Roman" w:cs="Times New Roman"/>
      <w:b/>
      <w:color w:val="555555"/>
      <w:sz w:val="28"/>
      <w:szCs w:val="28"/>
      <w:shd w:val="clear" w:color="auto" w:fill="FFFFFF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0D5D46"/>
    <w:pPr>
      <w:shd w:val="clear" w:color="auto" w:fill="FFFFFF"/>
      <w:spacing w:after="75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5D46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D5D46"/>
    <w:pPr>
      <w:shd w:val="clear" w:color="auto" w:fill="FFFFFF"/>
      <w:spacing w:after="75" w:line="240" w:lineRule="auto"/>
      <w:ind w:firstLine="709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5D46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D5D46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5D46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0D5D4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5D4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D46"/>
    <w:pPr>
      <w:shd w:val="clear" w:color="auto" w:fill="FFFFFF"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D46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D5D46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D5D46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val="ru-RU" w:eastAsia="ru-RU"/>
    </w:rPr>
  </w:style>
  <w:style w:type="table" w:styleId="a7">
    <w:name w:val="Table Grid"/>
    <w:basedOn w:val="a1"/>
    <w:uiPriority w:val="59"/>
    <w:rsid w:val="000D5D46"/>
    <w:pPr>
      <w:spacing w:after="0" w:line="240" w:lineRule="auto"/>
      <w:ind w:firstLine="709"/>
      <w:jc w:val="both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5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0D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3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2</cp:revision>
  <cp:lastPrinted>2020-01-15T13:40:00Z</cp:lastPrinted>
  <dcterms:created xsi:type="dcterms:W3CDTF">2020-01-15T14:02:00Z</dcterms:created>
  <dcterms:modified xsi:type="dcterms:W3CDTF">2020-01-15T14:02:00Z</dcterms:modified>
</cp:coreProperties>
</file>