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59" w:rsidRDefault="00C26B59" w:rsidP="00C26B59">
      <w:pPr>
        <w:pStyle w:val="a3"/>
        <w:jc w:val="center"/>
      </w:pPr>
      <w:r>
        <w:rPr>
          <w:b/>
          <w:bCs/>
        </w:rPr>
        <w:t xml:space="preserve">РЕШЕНИЕ </w:t>
      </w:r>
    </w:p>
    <w:p w:rsidR="00C26B59" w:rsidRDefault="00C26B59" w:rsidP="00C26B59">
      <w:pPr>
        <w:pStyle w:val="a3"/>
        <w:jc w:val="center"/>
      </w:pPr>
      <w:r>
        <w:t>от 20 декабря</w:t>
      </w:r>
      <w:bookmarkStart w:id="0" w:name="_GoBack"/>
      <w:bookmarkEnd w:id="0"/>
      <w:r>
        <w:t xml:space="preserve"> 2010 года № 114</w:t>
      </w:r>
    </w:p>
    <w:p w:rsidR="00C26B59" w:rsidRDefault="00C26B59" w:rsidP="00C26B59">
      <w:pPr>
        <w:pStyle w:val="a3"/>
        <w:jc w:val="center"/>
      </w:pPr>
      <w:r>
        <w:t xml:space="preserve">Об утверждении «Методики расчета нормативов бюджетного финансирования </w:t>
      </w:r>
    </w:p>
    <w:p w:rsidR="00C26B59" w:rsidRDefault="00C26B59" w:rsidP="00C26B59">
      <w:pPr>
        <w:pStyle w:val="a3"/>
        <w:jc w:val="center"/>
      </w:pPr>
      <w:r>
        <w:t xml:space="preserve">муниципальных учреждений дополнительного образования детей» </w:t>
      </w:r>
    </w:p>
    <w:p w:rsidR="00C26B59" w:rsidRDefault="00C26B59" w:rsidP="00C26B59">
      <w:pPr>
        <w:pStyle w:val="a3"/>
      </w:pPr>
      <w:r>
        <w:t xml:space="preserve">Рассмотрев предложение администрации Светлогорского района о нормативах бюджетного финансирования муниципальных учреждений дополнительного образования детей, руководствуясь Законом Российской Федерации от 10.07.1992 г. № 3266-1 «Об образовании»,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со ст. 27 Устава муниципального образования «Светлогорский </w:t>
      </w:r>
      <w:proofErr w:type="spellStart"/>
      <w:r>
        <w:t>район»,районный</w:t>
      </w:r>
      <w:proofErr w:type="spellEnd"/>
      <w:r>
        <w:t xml:space="preserve"> Совет депутатов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решил: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1. Утвердить «Методику расчета нормативов бюджетного финансирования муниципальных учреждений дополнительного образования детей» (Приложение).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2. Признать утратившим силу решение окружного Совета депутатов Светлогорского городского округа от 13 ноября 2008 года № 75 «Об утверждении методики расчета нормативов бюджетного финансирования реализации программ дополнительного образования детей» с момента вступления в силу настоящего решения.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комиссии районного Совета депутатов по бюджету, финансам и экономической политике (В.В. Бондаренко). </w:t>
      </w:r>
    </w:p>
    <w:p w:rsidR="00C26B59" w:rsidRDefault="00C26B59" w:rsidP="00C26B59">
      <w:pPr>
        <w:pStyle w:val="a3"/>
      </w:pPr>
      <w:r>
        <w:rPr>
          <w:b/>
          <w:bCs/>
        </w:rPr>
        <w:t xml:space="preserve">4. Настоящее решение подлежит опубликованию в газете «Вестник Светлогорска». </w:t>
      </w:r>
    </w:p>
    <w:p w:rsidR="00C26B59" w:rsidRDefault="00C26B59" w:rsidP="00C26B59">
      <w:pPr>
        <w:pStyle w:val="a3"/>
        <w:rPr>
          <w:b/>
          <w:bCs/>
        </w:rPr>
      </w:pPr>
      <w:r>
        <w:rPr>
          <w:b/>
          <w:bCs/>
        </w:rPr>
        <w:t xml:space="preserve">5. Решение вступает в силу со дня опубликования. </w:t>
      </w:r>
    </w:p>
    <w:p w:rsidR="00C26B59" w:rsidRDefault="00C26B59" w:rsidP="00C26B59">
      <w:pPr>
        <w:pStyle w:val="a3"/>
        <w:rPr>
          <w:b/>
          <w:bCs/>
        </w:rPr>
      </w:pPr>
    </w:p>
    <w:p w:rsidR="00C26B59" w:rsidRDefault="00C26B59" w:rsidP="00C26B59">
      <w:pPr>
        <w:pStyle w:val="a3"/>
      </w:pPr>
    </w:p>
    <w:p w:rsidR="00C26B59" w:rsidRDefault="00C26B59" w:rsidP="00C26B59">
      <w:pPr>
        <w:pStyle w:val="a3"/>
      </w:pPr>
      <w:r>
        <w:t>Глава Светлогорского района</w:t>
      </w:r>
      <w:r>
        <w:t xml:space="preserve">                  </w:t>
      </w:r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C26B59" w:rsidRDefault="00C26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26B59" w:rsidRDefault="00C26B59" w:rsidP="00C26B59">
      <w:pPr>
        <w:pStyle w:val="a3"/>
        <w:jc w:val="right"/>
      </w:pPr>
      <w:r>
        <w:lastRenderedPageBreak/>
        <w:t xml:space="preserve">Приложение </w:t>
      </w:r>
    </w:p>
    <w:p w:rsidR="00C26B59" w:rsidRDefault="00C26B59" w:rsidP="00C26B59">
      <w:pPr>
        <w:pStyle w:val="a3"/>
        <w:jc w:val="right"/>
      </w:pPr>
      <w:r>
        <w:t xml:space="preserve">к решению районного Совета </w:t>
      </w:r>
    </w:p>
    <w:p w:rsidR="00C26B59" w:rsidRDefault="00C26B59" w:rsidP="00C26B59">
      <w:pPr>
        <w:pStyle w:val="a3"/>
        <w:jc w:val="right"/>
      </w:pPr>
      <w:r>
        <w:t xml:space="preserve">депутатов Светлогорского района </w:t>
      </w:r>
    </w:p>
    <w:p w:rsidR="00C26B59" w:rsidRDefault="00C26B59" w:rsidP="00C26B59">
      <w:pPr>
        <w:pStyle w:val="a3"/>
        <w:jc w:val="right"/>
      </w:pPr>
      <w:r>
        <w:t xml:space="preserve">от 20 декабря 2010 г. № 114 </w:t>
      </w:r>
    </w:p>
    <w:p w:rsidR="00C26B59" w:rsidRDefault="00C26B59" w:rsidP="00C26B59">
      <w:pPr>
        <w:pStyle w:val="a3"/>
        <w:jc w:val="center"/>
      </w:pPr>
      <w:r>
        <w:t xml:space="preserve">Методика расчета нормативов бюджетного финансирования </w:t>
      </w:r>
    </w:p>
    <w:p w:rsidR="00C26B59" w:rsidRDefault="00C26B59" w:rsidP="00C26B59">
      <w:pPr>
        <w:pStyle w:val="a3"/>
        <w:jc w:val="center"/>
      </w:pPr>
      <w:r>
        <w:t xml:space="preserve">муниципальных учреждений дополнительного образования детей </w:t>
      </w:r>
    </w:p>
    <w:p w:rsidR="00C26B59" w:rsidRDefault="00C26B59" w:rsidP="00C26B59">
      <w:pPr>
        <w:pStyle w:val="a3"/>
      </w:pPr>
      <w:r>
        <w:t>Настоящая методика разработана в целях определения единого подхода при расчете объемов средств на финансовое обеспечение прав граждан на получение дополнительного образования в муниципальных образовательных учреждениях дополнительного образования детей Светлогорского района (детская школа искусств, детско-юношеская спортивная школа, детско-юношеский центр).</w:t>
      </w:r>
      <w:r>
        <w:rPr>
          <w:i/>
          <w:iCs/>
        </w:rPr>
        <w:t xml:space="preserve"> </w:t>
      </w:r>
    </w:p>
    <w:p w:rsidR="00C26B59" w:rsidRDefault="00C26B59" w:rsidP="00C26B59">
      <w:pPr>
        <w:pStyle w:val="a3"/>
      </w:pPr>
      <w:bookmarkStart w:id="1" w:name="sub_1001"/>
      <w:r>
        <w:t xml:space="preserve">Расчет норматива бюджетного финансирования основывается на следующих принципах: </w:t>
      </w:r>
      <w:bookmarkEnd w:id="1"/>
    </w:p>
    <w:p w:rsidR="00C26B59" w:rsidRDefault="00C26B59" w:rsidP="00C26B59">
      <w:pPr>
        <w:pStyle w:val="a3"/>
      </w:pPr>
      <w:r>
        <w:t xml:space="preserve">1. Формирование величины нормативов бюджетного финансирования производится на основе нормативных соотношений (экономических нормативах) между фондом оплаты труда (ФОТ) и фондом материального обеспечения (ФМО), суммой всех текущих расходов, связанных с реализацией образовательной программы. </w:t>
      </w:r>
    </w:p>
    <w:p w:rsidR="00C26B59" w:rsidRDefault="00C26B59" w:rsidP="00C26B59">
      <w:pPr>
        <w:pStyle w:val="a3"/>
      </w:pPr>
      <w:bookmarkStart w:id="2" w:name="sub_1002"/>
      <w:r>
        <w:t xml:space="preserve">2. В расчетную величину включается финансирование прямых, текущих расходов, непосредственно связанных с реализацией образовательной программы. </w:t>
      </w:r>
      <w:bookmarkEnd w:id="2"/>
    </w:p>
    <w:p w:rsidR="00C26B59" w:rsidRDefault="00C26B59" w:rsidP="00C26B59">
      <w:pPr>
        <w:pStyle w:val="a3"/>
      </w:pPr>
      <w:bookmarkStart w:id="3" w:name="sub_1003"/>
      <w:r>
        <w:t xml:space="preserve">3. Расчет прямых текущих расходов осуществляется на основе расчета стоимости годового обучения одного учащегося с учетом направленности программы, сроков ее реализации, уровня освоения образовательной программы. </w:t>
      </w:r>
      <w:bookmarkEnd w:id="3"/>
    </w:p>
    <w:p w:rsidR="00C26B59" w:rsidRDefault="00C26B59" w:rsidP="00C26B59">
      <w:pPr>
        <w:pStyle w:val="a3"/>
      </w:pPr>
      <w:r>
        <w:t xml:space="preserve">К прямым текущим расходам, влияющим на стоимость реализации программы, относятся: </w:t>
      </w:r>
    </w:p>
    <w:p w:rsidR="00C26B59" w:rsidRDefault="00C26B59" w:rsidP="00C26B59">
      <w:pPr>
        <w:pStyle w:val="a3"/>
      </w:pPr>
      <w:r>
        <w:t xml:space="preserve">- расходы на заработную плату работников учреждений с начислениями; </w:t>
      </w:r>
    </w:p>
    <w:p w:rsidR="00C26B59" w:rsidRDefault="00C26B59" w:rsidP="00C26B59">
      <w:pPr>
        <w:pStyle w:val="a3"/>
      </w:pPr>
      <w:r>
        <w:t xml:space="preserve">- расходы на канцелярские принадлежности, расходные материалы; </w:t>
      </w:r>
    </w:p>
    <w:p w:rsidR="00C26B59" w:rsidRDefault="00C26B59" w:rsidP="00C26B59">
      <w:pPr>
        <w:pStyle w:val="a3"/>
      </w:pPr>
      <w:r>
        <w:t xml:space="preserve">- расходы на командировки (расходы по найму жилого помещения, проезд к месту командировки и обратно, суточные и т.д.); </w:t>
      </w:r>
    </w:p>
    <w:p w:rsidR="00C26B59" w:rsidRDefault="00C26B59" w:rsidP="00C26B59">
      <w:pPr>
        <w:pStyle w:val="a3"/>
      </w:pPr>
      <w:r>
        <w:t xml:space="preserve">- транспортные расходы на содержание автомобильного транспорта и других видов транспорта; </w:t>
      </w:r>
    </w:p>
    <w:p w:rsidR="00C26B59" w:rsidRDefault="00C26B59" w:rsidP="00C26B59">
      <w:pPr>
        <w:pStyle w:val="a3"/>
      </w:pPr>
      <w:r>
        <w:t xml:space="preserve">- наем транспорта для хозяйственных целей; </w:t>
      </w:r>
    </w:p>
    <w:p w:rsidR="00C26B59" w:rsidRDefault="00C26B59" w:rsidP="00C26B59">
      <w:pPr>
        <w:pStyle w:val="a3"/>
      </w:pPr>
      <w:r>
        <w:t xml:space="preserve">- прочие текущие расходы: приобретение учебных пособий, материалов для учебных и лабораторных занятий, костюмного и декорационного фонда, снаряжения, учебные экскурсии, издание и приобретение учебных программ; </w:t>
      </w:r>
    </w:p>
    <w:p w:rsidR="00C26B59" w:rsidRDefault="00C26B59" w:rsidP="00C26B59">
      <w:pPr>
        <w:pStyle w:val="a3"/>
      </w:pPr>
      <w:r>
        <w:t xml:space="preserve">- расходы на обеспечение связью; </w:t>
      </w:r>
    </w:p>
    <w:p w:rsidR="00C26B59" w:rsidRDefault="00C26B59" w:rsidP="00C26B59">
      <w:pPr>
        <w:pStyle w:val="a3"/>
      </w:pPr>
      <w:r>
        <w:t xml:space="preserve">- коммунальные расходы (отопление, освещение, водоснабжение, канализацию, оплату топлива и электроэнергии, используемые в течение года), текущий ремонт. </w:t>
      </w:r>
    </w:p>
    <w:p w:rsidR="00C26B59" w:rsidRDefault="00C26B59" w:rsidP="00C26B59">
      <w:pPr>
        <w:pStyle w:val="a3"/>
      </w:pPr>
      <w:r>
        <w:lastRenderedPageBreak/>
        <w:t xml:space="preserve">В расчет норматива бюджетного финансирования не включаются расходы на приобретение дорогостоящего оборудования и мебели, капитальный ремонт. Названные расходы финансируются по ведомственным или целевым программам. </w:t>
      </w:r>
    </w:p>
    <w:p w:rsidR="00C26B59" w:rsidRDefault="00C26B59" w:rsidP="00C26B59">
      <w:pPr>
        <w:pStyle w:val="a3"/>
      </w:pPr>
      <w:bookmarkStart w:id="4" w:name="sub_1004"/>
      <w:r>
        <w:t xml:space="preserve">4. Структура годового норматива бюджетного финансирования: </w:t>
      </w:r>
      <w:bookmarkEnd w:id="4"/>
    </w:p>
    <w:p w:rsidR="00C26B59" w:rsidRDefault="00C26B59" w:rsidP="00C26B59">
      <w:pPr>
        <w:pStyle w:val="a3"/>
      </w:pPr>
      <w:r>
        <w:rPr>
          <w:b/>
          <w:bCs/>
        </w:rPr>
        <w:t>НБФ = ФОТ + ФМО</w:t>
      </w:r>
      <w:r>
        <w:t xml:space="preserve">, </w:t>
      </w:r>
    </w:p>
    <w:p w:rsidR="00C26B59" w:rsidRDefault="00C26B59" w:rsidP="00C26B59">
      <w:pPr>
        <w:pStyle w:val="a3"/>
      </w:pPr>
      <w:r>
        <w:t xml:space="preserve">где </w:t>
      </w:r>
      <w:r>
        <w:rPr>
          <w:b/>
          <w:bCs/>
        </w:rPr>
        <w:t>ФОТ</w:t>
      </w:r>
      <w:r>
        <w:t xml:space="preserve"> - годовой фонд оплаты труда, включающий заработную плату (базовая часть фонда оплаты труда, стимулирующая часть фонда оплаты труда, компенсационные выплаты), начисления на заработную плату; </w:t>
      </w:r>
    </w:p>
    <w:p w:rsidR="00C26B59" w:rsidRDefault="00C26B59" w:rsidP="00C26B59">
      <w:pPr>
        <w:pStyle w:val="a3"/>
      </w:pPr>
      <w:r>
        <w:rPr>
          <w:b/>
          <w:bCs/>
        </w:rPr>
        <w:t>ФМО</w:t>
      </w:r>
      <w:r>
        <w:t xml:space="preserve"> - фонд материального обеспечения, включающий расходы на канцелярские принадлежности, расходные материалы, расходы на командировки, транспортные расходы, расходы на связь и вывоз мусора, дератизацию, коммунальные, прочие расходы, связанные с уставной деятельностью образовательного учреждения </w:t>
      </w:r>
    </w:p>
    <w:p w:rsidR="00C26B59" w:rsidRDefault="00C26B59" w:rsidP="00C26B59">
      <w:pPr>
        <w:pStyle w:val="a3"/>
      </w:pPr>
      <w:bookmarkStart w:id="5" w:name="sub_1005"/>
      <w:r>
        <w:t xml:space="preserve">5. При расчете нормативов бюджетного финансирования в части определения ФОТ, используются следующие нормативные документы и расчетные данные: </w:t>
      </w:r>
      <w:bookmarkEnd w:id="5"/>
    </w:p>
    <w:p w:rsidR="00C26B59" w:rsidRDefault="00C26B59" w:rsidP="00C26B59">
      <w:pPr>
        <w:pStyle w:val="a3"/>
      </w:pPr>
      <w:r>
        <w:t xml:space="preserve">- «Типовое положение об образовательном учреждении дополнительного образования детей от 7 марта 1995 года № 233»; </w:t>
      </w:r>
    </w:p>
    <w:p w:rsidR="00C26B59" w:rsidRDefault="00C26B59" w:rsidP="00C26B59">
      <w:pPr>
        <w:pStyle w:val="a3"/>
      </w:pPr>
      <w:r>
        <w:t xml:space="preserve">- «Методические рекомендации по организации деятельности спортивных школ в Российской Федерации (письмо Федерального агентства по физической культуре и спорту от 12 декабря 2006 г. № СК-02-10\3685)»; </w:t>
      </w:r>
    </w:p>
    <w:p w:rsidR="00C26B59" w:rsidRDefault="00C26B59" w:rsidP="00C26B59">
      <w:pPr>
        <w:pStyle w:val="a3"/>
      </w:pPr>
      <w:r>
        <w:t xml:space="preserve">- «Методические рекомендации Агентства по культуре и кинематографии РФ по финансированию образовательных учреждений, реализующих программу дополнительного образования детей художественно-эстетической направленности (детских школ искусств)»; </w:t>
      </w:r>
    </w:p>
    <w:p w:rsidR="00C26B59" w:rsidRDefault="00C26B59" w:rsidP="00C26B59">
      <w:pPr>
        <w:pStyle w:val="a3"/>
      </w:pPr>
      <w:r>
        <w:t xml:space="preserve">- «Методические рекомендации по финансированию реализации основных образовательных программ дополнительного образования детей (письмо Министерства образования и науки Российской Федерации от 19 октября 2006 г. № 06-1616)»; </w:t>
      </w:r>
    </w:p>
    <w:p w:rsidR="00C26B59" w:rsidRDefault="00C26B59" w:rsidP="00C26B59">
      <w:pPr>
        <w:pStyle w:val="a3"/>
      </w:pPr>
      <w:r>
        <w:t xml:space="preserve">- «Рекомендации по оплате труда работников муниципальных образовательных учреждений дополнительного образования детей (приказ Министерства образования Калининградской области от 22 января 2009г. №62/1)»; </w:t>
      </w:r>
    </w:p>
    <w:p w:rsidR="00C26B59" w:rsidRDefault="00C26B59" w:rsidP="00C26B59">
      <w:pPr>
        <w:pStyle w:val="a3"/>
      </w:pPr>
      <w:r>
        <w:t xml:space="preserve">- нормативы по определению штатной численности по административному, учебно-вспомогательному и обслуживающему персоналу, рассчитанному на основе примерных штатов по видам учреждений дополнительного образования детей; </w:t>
      </w:r>
    </w:p>
    <w:p w:rsidR="00C26B59" w:rsidRDefault="00C26B59" w:rsidP="00C26B59">
      <w:pPr>
        <w:pStyle w:val="a3"/>
      </w:pPr>
      <w:r>
        <w:t xml:space="preserve">- типовые учебные планы, примерные учебные планы. </w:t>
      </w:r>
    </w:p>
    <w:p w:rsidR="00C26B59" w:rsidRDefault="00C26B59" w:rsidP="00C26B59">
      <w:pPr>
        <w:pStyle w:val="a3"/>
      </w:pPr>
      <w:bookmarkStart w:id="6" w:name="sub_1006"/>
      <w:r>
        <w:t xml:space="preserve">6. Расчет соотношения фонда оплаты труда к фонду материального обеспечения производится аналитическим способом, основанном на анализе сложившегося соотношения в расходах за последние 3 года при относительно полном удовлетворении потребности в финансовых средствах по всем статьям расходов по программе соответствующей направленности. </w:t>
      </w:r>
      <w:bookmarkEnd w:id="6"/>
    </w:p>
    <w:p w:rsidR="00C26B59" w:rsidRDefault="00C26B59" w:rsidP="00C26B59">
      <w:pPr>
        <w:pStyle w:val="a3"/>
      </w:pPr>
      <w:bookmarkStart w:id="7" w:name="sub_1007"/>
      <w:r>
        <w:t>7. Нормативы бюджетного финансирования по видам предоставляемых услуг являются стоимостным выражением муниципальной услуги и корректируются в установленном нормативно-правовыми актами муниципального образования порядке.</w:t>
      </w:r>
      <w:bookmarkEnd w:id="7"/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72"/>
    <w:rsid w:val="00022184"/>
    <w:rsid w:val="00035A30"/>
    <w:rsid w:val="00522A72"/>
    <w:rsid w:val="00C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786E"/>
  <w15:chartTrackingRefBased/>
  <w15:docId w15:val="{D9083027-9246-47F4-9C6A-25789A7C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2018-11-14T10:18:00Z</dcterms:created>
  <dcterms:modified xsi:type="dcterms:W3CDTF">2018-11-14T10:18:00Z</dcterms:modified>
</cp:coreProperties>
</file>