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64" w:rsidRDefault="00EF4364" w:rsidP="00EF4364">
      <w:pPr>
        <w:pStyle w:val="a3"/>
        <w:jc w:val="center"/>
      </w:pPr>
      <w:r>
        <w:t xml:space="preserve">РЕШЕНИЕ </w:t>
      </w:r>
    </w:p>
    <w:p w:rsidR="00EF4364" w:rsidRDefault="00EF4364" w:rsidP="00EF4364">
      <w:pPr>
        <w:pStyle w:val="a3"/>
        <w:jc w:val="center"/>
      </w:pPr>
      <w:r>
        <w:t>от 05 марта 2012 г. № 15</w:t>
      </w:r>
    </w:p>
    <w:p w:rsidR="00EF4364" w:rsidRDefault="00EF4364" w:rsidP="00EF4364">
      <w:pPr>
        <w:pStyle w:val="a3"/>
        <w:spacing w:before="0" w:beforeAutospacing="0" w:after="0" w:afterAutospacing="0"/>
        <w:jc w:val="center"/>
      </w:pPr>
      <w:bookmarkStart w:id="0" w:name="_GoBack"/>
      <w:r>
        <w:t xml:space="preserve">О внесении изменений в решение районного Совета </w:t>
      </w:r>
    </w:p>
    <w:p w:rsidR="00EF4364" w:rsidRDefault="00EF4364" w:rsidP="00EF4364">
      <w:pPr>
        <w:pStyle w:val="a3"/>
        <w:spacing w:before="0" w:beforeAutospacing="0" w:after="0" w:afterAutospacing="0"/>
        <w:jc w:val="center"/>
      </w:pPr>
      <w:r>
        <w:t xml:space="preserve">депутатов Светлогорского района от 22 ноября 2010 года № 106 </w:t>
      </w:r>
    </w:p>
    <w:p w:rsidR="00EF4364" w:rsidRDefault="00EF4364" w:rsidP="00EF4364">
      <w:pPr>
        <w:pStyle w:val="a3"/>
        <w:spacing w:before="0" w:beforeAutospacing="0" w:after="0" w:afterAutospacing="0"/>
        <w:jc w:val="center"/>
      </w:pPr>
      <w:r>
        <w:t xml:space="preserve">«О системе налогообложения в виде единого налога на вмененный </w:t>
      </w:r>
    </w:p>
    <w:p w:rsidR="00EF4364" w:rsidRDefault="00EF4364" w:rsidP="00EF4364">
      <w:pPr>
        <w:pStyle w:val="a3"/>
        <w:spacing w:before="0" w:beforeAutospacing="0" w:after="0" w:afterAutospacing="0"/>
        <w:jc w:val="center"/>
      </w:pPr>
      <w:r>
        <w:t xml:space="preserve">доход для отдельных видов деятельности на территории </w:t>
      </w:r>
    </w:p>
    <w:p w:rsidR="00EF4364" w:rsidRDefault="00EF4364" w:rsidP="00EF4364">
      <w:pPr>
        <w:pStyle w:val="a3"/>
        <w:spacing w:before="0" w:beforeAutospacing="0" w:after="0" w:afterAutospacing="0"/>
        <w:jc w:val="center"/>
      </w:pPr>
      <w:r>
        <w:t xml:space="preserve">муниципального образования «Светлогорский район» </w:t>
      </w:r>
    </w:p>
    <w:bookmarkEnd w:id="0"/>
    <w:p w:rsidR="00EF4364" w:rsidRDefault="00EF4364" w:rsidP="00EF4364">
      <w:pPr>
        <w:pStyle w:val="a3"/>
      </w:pPr>
      <w:r>
        <w:t xml:space="preserve">В соответствии со </w:t>
      </w:r>
      <w:hyperlink r:id="rId4" w:history="1">
        <w:r>
          <w:rPr>
            <w:rStyle w:val="a4"/>
          </w:rPr>
          <w:t>статьей 346.26</w:t>
        </w:r>
      </w:hyperlink>
      <w:r>
        <w:t xml:space="preserve"> Налогового кодекса Российской Федерации (в редакции Федеральных законов от 29.07.2004 № 95-ФЗ, от 18.06.2005 № 63-ФЗ, от 21.07.2005 № 101-ФЗ, от 17.05.2007 № 85-ФЗ и от 22.07.2008 № 155-ФЗ «О внесении изменений в части первую и вторую Налогового кодекса Российской Федерации и признании утратившими силу некоторых законодательных актов Российской Федерации»), руководствуясь </w:t>
      </w:r>
      <w:hyperlink r:id="rId5" w:history="1">
        <w:r>
          <w:rPr>
            <w:rStyle w:val="a4"/>
          </w:rPr>
          <w:t>Уставом</w:t>
        </w:r>
      </w:hyperlink>
      <w:r>
        <w:t xml:space="preserve"> муниципального образования «Светлогорский район», районный Совет депутатов Светлогорского района </w:t>
      </w:r>
    </w:p>
    <w:p w:rsidR="00EF4364" w:rsidRDefault="00EF4364" w:rsidP="00EF4364">
      <w:pPr>
        <w:pStyle w:val="a3"/>
      </w:pPr>
      <w:r>
        <w:rPr>
          <w:b/>
          <w:bCs/>
        </w:rPr>
        <w:t xml:space="preserve">решил: </w:t>
      </w:r>
    </w:p>
    <w:p w:rsidR="00EF4364" w:rsidRDefault="00EF4364" w:rsidP="00EF4364">
      <w:pPr>
        <w:pStyle w:val="a3"/>
      </w:pPr>
      <w:r>
        <w:t xml:space="preserve">1. Внести в </w:t>
      </w:r>
      <w:hyperlink r:id="rId6" w:history="1">
        <w:r>
          <w:rPr>
            <w:rStyle w:val="a4"/>
          </w:rPr>
          <w:t>решение</w:t>
        </w:r>
      </w:hyperlink>
      <w:r>
        <w:t xml:space="preserve"> районного Совета депутатов Светлогорского района от 22 ноября 2010 года № 106 «О системе налогообложения в виде единого налога на вмененный доход для отдельных видов деятельности на территории муниципального образования «Светлогорский район» (далее - Решение) следующие изменения: </w:t>
      </w:r>
    </w:p>
    <w:p w:rsidR="00EF4364" w:rsidRDefault="00EF4364" w:rsidP="00EF4364">
      <w:pPr>
        <w:pStyle w:val="a3"/>
      </w:pPr>
      <w:r>
        <w:rPr>
          <w:b/>
          <w:bCs/>
        </w:rPr>
        <w:t xml:space="preserve">1.1. </w:t>
      </w:r>
      <w:hyperlink r:id="rId7" w:history="1">
        <w:r>
          <w:rPr>
            <w:rStyle w:val="a4"/>
            <w:b/>
            <w:bCs/>
          </w:rPr>
          <w:t>Пункт 2</w:t>
        </w:r>
      </w:hyperlink>
      <w:r>
        <w:rPr>
          <w:b/>
          <w:bCs/>
        </w:rPr>
        <w:t xml:space="preserve"> Решения изложить в следующей редакции: </w:t>
      </w:r>
    </w:p>
    <w:p w:rsidR="00EF4364" w:rsidRDefault="00EF4364" w:rsidP="00EF4364">
      <w:pPr>
        <w:pStyle w:val="a3"/>
      </w:pPr>
      <w:r>
        <w:rPr>
          <w:b/>
          <w:bCs/>
        </w:rPr>
        <w:t xml:space="preserve">Установить, что значение корректирующего коэффициента базовой доходности, учитывающего особенности ведения предпринимательской деятельности, определяется по формуле: </w:t>
      </w:r>
    </w:p>
    <w:p w:rsidR="00EF4364" w:rsidRDefault="00EF4364" w:rsidP="00EF4364">
      <w:pPr>
        <w:pStyle w:val="a3"/>
      </w:pPr>
      <w:r>
        <w:rPr>
          <w:b/>
          <w:bCs/>
        </w:rPr>
        <w:t xml:space="preserve">К2 = К2/1 x К2/2 x К2/3 x К2/4, где: </w:t>
      </w:r>
    </w:p>
    <w:p w:rsidR="00EF4364" w:rsidRDefault="00EF4364" w:rsidP="00EF4364">
      <w:pPr>
        <w:pStyle w:val="a3"/>
      </w:pPr>
      <w:r>
        <w:rPr>
          <w:b/>
          <w:bCs/>
        </w:rPr>
        <w:t xml:space="preserve">К2/1 - коэффициент, учитывающий покупательскую способность населения в различных населенных пунктах </w:t>
      </w:r>
      <w:hyperlink r:id="rId8" w:history="1">
        <w:r>
          <w:rPr>
            <w:rStyle w:val="a4"/>
            <w:b/>
            <w:bCs/>
          </w:rPr>
          <w:t>(приложение 1)</w:t>
        </w:r>
      </w:hyperlink>
      <w:r>
        <w:rPr>
          <w:b/>
          <w:bCs/>
        </w:rPr>
        <w:t xml:space="preserve">; </w:t>
      </w:r>
    </w:p>
    <w:p w:rsidR="00EF4364" w:rsidRDefault="00EF4364" w:rsidP="00EF4364">
      <w:pPr>
        <w:pStyle w:val="a3"/>
      </w:pPr>
      <w:r>
        <w:rPr>
          <w:b/>
          <w:bCs/>
        </w:rPr>
        <w:t xml:space="preserve">К2/2 - коэффициент, учитывающий особенности ассортимента товаров в розничной торговле </w:t>
      </w:r>
      <w:hyperlink r:id="rId9" w:history="1">
        <w:r>
          <w:rPr>
            <w:rStyle w:val="a4"/>
            <w:b/>
            <w:bCs/>
          </w:rPr>
          <w:t>(приложение 2)</w:t>
        </w:r>
      </w:hyperlink>
      <w:r>
        <w:rPr>
          <w:b/>
          <w:bCs/>
        </w:rPr>
        <w:t xml:space="preserve">; </w:t>
      </w:r>
    </w:p>
    <w:p w:rsidR="00EF4364" w:rsidRDefault="00EF4364" w:rsidP="00EF4364">
      <w:pPr>
        <w:pStyle w:val="a3"/>
      </w:pPr>
      <w:r>
        <w:rPr>
          <w:b/>
          <w:bCs/>
        </w:rPr>
        <w:t xml:space="preserve">К2/3 - коэффициент, учитывающий величину дохода в зависимости от вида предпринимательской деятельности </w:t>
      </w:r>
      <w:hyperlink r:id="rId10" w:history="1">
        <w:r>
          <w:rPr>
            <w:rStyle w:val="a4"/>
            <w:b/>
            <w:bCs/>
          </w:rPr>
          <w:t>(приложение 3)</w:t>
        </w:r>
      </w:hyperlink>
      <w:r>
        <w:rPr>
          <w:b/>
          <w:bCs/>
        </w:rPr>
        <w:t xml:space="preserve">; </w:t>
      </w:r>
    </w:p>
    <w:p w:rsidR="00EF4364" w:rsidRDefault="00EF4364" w:rsidP="00EF4364">
      <w:pPr>
        <w:pStyle w:val="a3"/>
      </w:pPr>
      <w:r>
        <w:rPr>
          <w:b/>
          <w:bCs/>
        </w:rPr>
        <w:t xml:space="preserve">К2/4 - коэффициент, учитывающий величину дохода при оказании автотранспортных услуг по перевозке пассажиров </w:t>
      </w:r>
      <w:hyperlink r:id="rId11" w:history="1">
        <w:r>
          <w:rPr>
            <w:rStyle w:val="a4"/>
            <w:b/>
            <w:bCs/>
          </w:rPr>
          <w:t>(приложение 4)</w:t>
        </w:r>
      </w:hyperlink>
      <w:r>
        <w:rPr>
          <w:b/>
          <w:bCs/>
        </w:rPr>
        <w:t xml:space="preserve">; </w:t>
      </w:r>
    </w:p>
    <w:p w:rsidR="00EF4364" w:rsidRDefault="00EF4364" w:rsidP="00EF4364">
      <w:pPr>
        <w:pStyle w:val="a3"/>
      </w:pPr>
      <w:r>
        <w:rPr>
          <w:b/>
          <w:bCs/>
        </w:rPr>
        <w:t xml:space="preserve">2. Контроль за исполнением настоящего решения возложить на председателя комиссии по бюджету, финансам и экономической политике районного Совета депутатов (В.В. Бондаренко). </w:t>
      </w:r>
    </w:p>
    <w:p w:rsidR="00EF4364" w:rsidRDefault="00EF4364" w:rsidP="00EF4364">
      <w:pPr>
        <w:pStyle w:val="a3"/>
      </w:pPr>
      <w:r>
        <w:rPr>
          <w:b/>
          <w:bCs/>
        </w:rPr>
        <w:t xml:space="preserve">3. Решение подлежит опубликованию в газете «Вестник Светлогорска». </w:t>
      </w:r>
    </w:p>
    <w:p w:rsidR="00EF4364" w:rsidRDefault="00EF4364" w:rsidP="00EF4364">
      <w:pPr>
        <w:pStyle w:val="a3"/>
      </w:pPr>
      <w:r>
        <w:rPr>
          <w:b/>
          <w:bCs/>
        </w:rPr>
        <w:t xml:space="preserve">4. Настоящее решение вступает в силу со дня его опубликования. </w:t>
      </w:r>
    </w:p>
    <w:p w:rsidR="00EF4364" w:rsidRDefault="00EF4364" w:rsidP="00EF4364">
      <w:pPr>
        <w:pStyle w:val="a3"/>
      </w:pPr>
      <w:r>
        <w:t xml:space="preserve">Глава Светлогорского района И.Ф. </w:t>
      </w:r>
      <w:proofErr w:type="spellStart"/>
      <w:r>
        <w:t>Партулеев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B"/>
    <w:rsid w:val="00022184"/>
    <w:rsid w:val="00035A30"/>
    <w:rsid w:val="007F588B"/>
    <w:rsid w:val="00E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4369-5FB9-418F-8F02-7491917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18C0FC00F729DAE01E094BA20389C9E67321A789168D244B09194BD8FE9F716BEF9D8BED06D3C4537221DW2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6C0F9D8632DF37F2C4DF631586DF1154FC8431D594B9147EDFFEF0EAD2DCB3EFB944925B96EEE417961FHBR0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6C0F9D8632DF37F2C4DF631586DF1154FC8431D594B9147EDFFEF0EAD2DCB3HERFM" TargetMode="External"/><Relationship Id="rId11" Type="http://schemas.openxmlformats.org/officeDocument/2006/relationships/hyperlink" Target="consultantplus://offline/ref=B2918C0FC00F729DAE01E094BA20389C9E67321A789168D244B09194BD8FE9F716BEF9D8BED06D3C4537291DW1K" TargetMode="External"/><Relationship Id="rId5" Type="http://schemas.openxmlformats.org/officeDocument/2006/relationships/hyperlink" Target="consultantplus://offline/ref=B2918C0FC00F729DAE01E094BA20389C9E67321A7F9B62D344B09194BD8FE9F716BEF9D8BED06D3C4535261DW1K" TargetMode="External"/><Relationship Id="rId10" Type="http://schemas.openxmlformats.org/officeDocument/2006/relationships/hyperlink" Target="consultantplus://offline/ref=B2918C0FC00F729DAE01E094BA20389C9E67321A789168D244B09194BD8FE9F716BEF9D8BED06D3C4537241DW1K" TargetMode="External"/><Relationship Id="rId4" Type="http://schemas.openxmlformats.org/officeDocument/2006/relationships/hyperlink" Target="consultantplus://offline/ref=B2918C0FC00F729DAE01FE99AC4C66959B6E6D1F7D91608210EFCAC9EA86E3A051F1A09AFADE6B3E14W0K" TargetMode="External"/><Relationship Id="rId9" Type="http://schemas.openxmlformats.org/officeDocument/2006/relationships/hyperlink" Target="consultantplus://offline/ref=B2918C0FC00F729DAE01E094BA20389C9E67321A789168D244B09194BD8FE9F716BEF9D8BED06D3C4537251DW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2018-11-15T10:23:00Z</dcterms:created>
  <dcterms:modified xsi:type="dcterms:W3CDTF">2018-11-15T10:23:00Z</dcterms:modified>
</cp:coreProperties>
</file>